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5896" w:rsidRPr="00D86AA7" w:rsidRDefault="00735896" w:rsidP="00735896">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841393">
        <w:rPr>
          <w:rFonts w:ascii="Arial" w:eastAsia="Batang" w:hAnsi="Arial" w:cs="Arial"/>
          <w:b/>
          <w:bCs/>
          <w:lang w:val="en-GB"/>
        </w:rPr>
        <w:t>00399</w:t>
      </w:r>
    </w:p>
    <w:p w:rsidR="00735896" w:rsidRPr="00DA7B88" w:rsidRDefault="00735896" w:rsidP="00735896">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D26F8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D26F8C">
        <w:rPr>
          <w:lang w:val="en-US"/>
        </w:rPr>
        <w:t>1</w:t>
      </w:r>
      <w:r w:rsidR="00735896">
        <w:rPr>
          <w:lang w:val="en-US"/>
        </w:rPr>
        <w:t>1</w:t>
      </w:r>
      <w:r>
        <w:rPr>
          <w:lang w:val="en-US"/>
        </w:rPr>
        <w:t xml:space="preserve">, the following agreements on </w:t>
      </w:r>
      <w:r w:rsidR="00122C70">
        <w:rPr>
          <w:lang w:val="en-US"/>
        </w:rPr>
        <w:t xml:space="preserve">evaluation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644A2B" w:rsidTr="00557396">
        <w:tc>
          <w:tcPr>
            <w:tcW w:w="9010" w:type="dxa"/>
          </w:tcPr>
          <w:p w:rsidR="00735896" w:rsidRPr="0034769A" w:rsidRDefault="00735896" w:rsidP="00735896">
            <w:pPr>
              <w:rPr>
                <w:sz w:val="20"/>
                <w:szCs w:val="20"/>
                <w:highlight w:val="green"/>
              </w:rPr>
            </w:pPr>
            <w:r w:rsidRPr="0034769A">
              <w:rPr>
                <w:sz w:val="20"/>
                <w:szCs w:val="20"/>
                <w:highlight w:val="green"/>
              </w:rPr>
              <w:t>Agreement</w:t>
            </w:r>
          </w:p>
          <w:p w:rsidR="00735896" w:rsidRPr="0034769A" w:rsidRDefault="00735896" w:rsidP="00735896">
            <w:pPr>
              <w:rPr>
                <w:sz w:val="20"/>
                <w:szCs w:val="20"/>
              </w:rPr>
            </w:pPr>
          </w:p>
          <w:p w:rsidR="00735896" w:rsidRPr="0034769A" w:rsidRDefault="00735896" w:rsidP="00735896">
            <w:pPr>
              <w:rPr>
                <w:sz w:val="20"/>
                <w:szCs w:val="20"/>
              </w:rPr>
            </w:pPr>
            <w:r w:rsidRPr="0034769A">
              <w:rPr>
                <w:sz w:val="20"/>
                <w:szCs w:val="20"/>
              </w:rPr>
              <w:t>The following cases are considered for verifying the generalization performance of an AI/ML model over various scenarios/configurations as a starting point:</w:t>
            </w:r>
          </w:p>
          <w:p w:rsidR="00735896" w:rsidRPr="0034769A" w:rsidRDefault="00735896" w:rsidP="00735896">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4769A">
              <w:rPr>
                <w:rFonts w:ascii="Times New Roman" w:hAnsi="Times New Roman"/>
                <w:szCs w:val="20"/>
              </w:rPr>
              <w:t>Case 1: The AI/ML model is trained based on training dataset from one Scenario#A/Configuration#A, and then the AI/ML model performs inference/test on a dataset from the same Scenario#A/Configuration#A</w:t>
            </w:r>
          </w:p>
          <w:p w:rsidR="00735896" w:rsidRPr="0034769A" w:rsidRDefault="00735896" w:rsidP="00735896">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4769A">
              <w:rPr>
                <w:rFonts w:ascii="Times New Roman" w:hAnsi="Times New Roman"/>
                <w:szCs w:val="20"/>
              </w:rPr>
              <w:t>Case 2: The AI/ML model is trained based on training dataset from one Scenario#A/Configuration#A, and then the AI/ML model performs inference/test on a different dataset than Scenario#A/Configuration#A, e.g., Scenario#B/Configuration#B, Scenario#A/Configuration#B</w:t>
            </w:r>
          </w:p>
          <w:p w:rsidR="00735896" w:rsidRPr="0034769A" w:rsidRDefault="00735896" w:rsidP="00735896">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4769A">
              <w:rPr>
                <w:rFonts w:ascii="Times New Roman" w:hAnsi="Times New Roman"/>
                <w:szCs w:val="20"/>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735896" w:rsidRPr="0034769A" w:rsidRDefault="00735896" w:rsidP="00735896">
            <w:pPr>
              <w:pStyle w:val="ListParagraph"/>
              <w:numPr>
                <w:ilvl w:val="3"/>
                <w:numId w:val="19"/>
              </w:numPr>
              <w:autoSpaceDE w:val="0"/>
              <w:autoSpaceDN w:val="0"/>
              <w:adjustRightInd w:val="0"/>
              <w:snapToGrid w:val="0"/>
              <w:spacing w:after="120" w:line="256" w:lineRule="auto"/>
              <w:ind w:leftChars="0" w:left="709"/>
              <w:rPr>
                <w:rFonts w:ascii="Times New Roman" w:hAnsi="Times New Roman"/>
                <w:szCs w:val="20"/>
              </w:rPr>
            </w:pPr>
            <w:r w:rsidRPr="0034769A">
              <w:rPr>
                <w:rFonts w:ascii="Times New Roman" w:hAnsi="Times New Roman"/>
                <w:szCs w:val="20"/>
              </w:rPr>
              <w:t>Note: Companies to report the ratio for dataset mixing</w:t>
            </w:r>
          </w:p>
          <w:p w:rsidR="00735896" w:rsidRPr="0034769A" w:rsidRDefault="00735896" w:rsidP="00735896">
            <w:pPr>
              <w:pStyle w:val="ListParagraph"/>
              <w:numPr>
                <w:ilvl w:val="3"/>
                <w:numId w:val="19"/>
              </w:numPr>
              <w:autoSpaceDE w:val="0"/>
              <w:autoSpaceDN w:val="0"/>
              <w:adjustRightInd w:val="0"/>
              <w:snapToGrid w:val="0"/>
              <w:spacing w:after="120" w:line="256" w:lineRule="auto"/>
              <w:ind w:leftChars="0" w:left="709"/>
              <w:rPr>
                <w:rFonts w:ascii="Times New Roman" w:hAnsi="Times New Roman"/>
                <w:szCs w:val="20"/>
              </w:rPr>
            </w:pPr>
            <w:r w:rsidRPr="0034769A">
              <w:rPr>
                <w:rFonts w:ascii="Times New Roman" w:hAnsi="Times New Roman"/>
                <w:szCs w:val="20"/>
              </w:rPr>
              <w:t>Note: number of the multiple scenarios/configurations can be larger than two</w:t>
            </w:r>
          </w:p>
          <w:p w:rsidR="00735896" w:rsidRPr="0034769A" w:rsidRDefault="00735896" w:rsidP="00735896">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4769A">
              <w:rPr>
                <w:rFonts w:ascii="Times New Roman" w:hAnsi="Times New Roman"/>
                <w:szCs w:val="20"/>
              </w:rPr>
              <w:t>FFS the detailed set of scenarios/configurations</w:t>
            </w:r>
          </w:p>
          <w:p w:rsidR="00735896" w:rsidRPr="0034769A" w:rsidRDefault="00735896" w:rsidP="00735896">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4769A">
              <w:rPr>
                <w:rFonts w:ascii="Times New Roman" w:hAnsi="Times New Roman"/>
                <w:szCs w:val="20"/>
              </w:rPr>
              <w:t>The following case for generalization verification, can be optionally considered by companies:</w:t>
            </w:r>
          </w:p>
          <w:p w:rsidR="00735896" w:rsidRPr="0034769A" w:rsidRDefault="00735896" w:rsidP="00735896">
            <w:pPr>
              <w:pStyle w:val="ListParagraph"/>
              <w:widowControl w:val="0"/>
              <w:numPr>
                <w:ilvl w:val="1"/>
                <w:numId w:val="19"/>
              </w:numPr>
              <w:ind w:leftChars="0"/>
              <w:contextualSpacing/>
              <w:jc w:val="both"/>
              <w:rPr>
                <w:rFonts w:ascii="Times New Roman" w:hAnsi="Times New Roman"/>
                <w:szCs w:val="20"/>
              </w:rPr>
            </w:pPr>
            <w:r w:rsidRPr="0034769A">
              <w:rPr>
                <w:rFonts w:ascii="Times New Roman" w:hAnsi="Times New Roman"/>
                <w:szCs w:val="20"/>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rsidR="00735896" w:rsidRPr="0034769A" w:rsidRDefault="00735896" w:rsidP="00735896">
            <w:pPr>
              <w:pStyle w:val="ListParagraph"/>
              <w:numPr>
                <w:ilvl w:val="2"/>
                <w:numId w:val="19"/>
              </w:numPr>
              <w:snapToGrid w:val="0"/>
              <w:spacing w:after="120"/>
              <w:ind w:leftChars="0"/>
              <w:rPr>
                <w:rFonts w:ascii="Times New Roman" w:hAnsi="Times New Roman"/>
                <w:szCs w:val="20"/>
              </w:rPr>
            </w:pPr>
            <w:r w:rsidRPr="0034769A">
              <w:rPr>
                <w:rFonts w:ascii="Times New Roman" w:hAnsi="Times New Roman"/>
                <w:szCs w:val="20"/>
              </w:rPr>
              <w:t>Company to report the fine-tuning dataset setting (e.g., size of dataset) and the improvement of performance</w:t>
            </w:r>
          </w:p>
          <w:p w:rsidR="00735896" w:rsidRPr="0034769A" w:rsidRDefault="00735896" w:rsidP="00735896">
            <w:pPr>
              <w:pStyle w:val="ListParagraph"/>
              <w:numPr>
                <w:ilvl w:val="2"/>
                <w:numId w:val="19"/>
              </w:numPr>
              <w:snapToGrid w:val="0"/>
              <w:spacing w:after="120"/>
              <w:ind w:leftChars="0"/>
              <w:rPr>
                <w:rFonts w:ascii="Times New Roman" w:hAnsi="Times New Roman"/>
                <w:szCs w:val="20"/>
              </w:rPr>
            </w:pPr>
            <w:r w:rsidRPr="0034769A">
              <w:rPr>
                <w:rFonts w:ascii="Times New Roman" w:hAnsi="Times New Roman"/>
                <w:szCs w:val="20"/>
              </w:rPr>
              <w:t>FFS: Investigate of the feasibility the fine-tuning on the UE/Network side</w:t>
            </w:r>
          </w:p>
          <w:p w:rsidR="00735896" w:rsidRPr="0034769A" w:rsidRDefault="00735896" w:rsidP="00735896">
            <w:pPr>
              <w:rPr>
                <w:sz w:val="20"/>
                <w:szCs w:val="20"/>
                <w:highlight w:val="green"/>
                <w:lang w:eastAsia="ko-KR"/>
              </w:rPr>
            </w:pPr>
            <w:r w:rsidRPr="0034769A">
              <w:rPr>
                <w:sz w:val="20"/>
                <w:szCs w:val="20"/>
                <w:highlight w:val="green"/>
                <w:lang w:eastAsia="ko-KR"/>
              </w:rPr>
              <w:t>Agreement</w:t>
            </w:r>
          </w:p>
          <w:p w:rsidR="00735896" w:rsidRPr="0034769A" w:rsidRDefault="00735896" w:rsidP="00735896">
            <w:pPr>
              <w:numPr>
                <w:ilvl w:val="0"/>
                <w:numId w:val="25"/>
              </w:numPr>
              <w:ind w:left="360"/>
              <w:contextualSpacing/>
              <w:rPr>
                <w:sz w:val="20"/>
                <w:szCs w:val="20"/>
                <w:lang w:eastAsia="ko-KR"/>
              </w:rPr>
            </w:pPr>
            <w:r w:rsidRPr="0034769A">
              <w:rPr>
                <w:sz w:val="20"/>
                <w:szCs w:val="20"/>
                <w:lang w:eastAsia="ko-KR"/>
              </w:rPr>
              <w:t>For the evaluation of the overhead for BM-Case1, adoption the following metrics:</w:t>
            </w:r>
          </w:p>
          <w:p w:rsidR="00735896" w:rsidRPr="0034769A" w:rsidRDefault="00735896" w:rsidP="00735896">
            <w:pPr>
              <w:numPr>
                <w:ilvl w:val="1"/>
                <w:numId w:val="25"/>
              </w:numPr>
              <w:ind w:left="1080"/>
              <w:contextualSpacing/>
              <w:rPr>
                <w:sz w:val="20"/>
                <w:szCs w:val="20"/>
                <w:lang w:eastAsia="ko-KR"/>
              </w:rPr>
            </w:pPr>
            <w:r w:rsidRPr="0034769A">
              <w:rPr>
                <w:sz w:val="20"/>
                <w:szCs w:val="20"/>
                <w:lang w:eastAsia="ko-KR"/>
              </w:rPr>
              <w:t xml:space="preserve">RS overhead reduction, </w:t>
            </w:r>
          </w:p>
          <w:p w:rsidR="00735896" w:rsidRPr="0034769A" w:rsidRDefault="00735896" w:rsidP="00735896">
            <w:pPr>
              <w:numPr>
                <w:ilvl w:val="2"/>
                <w:numId w:val="25"/>
              </w:numPr>
              <w:ind w:left="1800"/>
              <w:contextualSpacing/>
              <w:rPr>
                <w:sz w:val="20"/>
                <w:szCs w:val="20"/>
                <w:lang w:eastAsia="ko-KR"/>
              </w:rPr>
            </w:pPr>
            <w:r w:rsidRPr="0034769A">
              <w:rPr>
                <w:sz w:val="20"/>
                <w:szCs w:val="20"/>
                <w:lang w:eastAsia="ko-KR"/>
              </w:rPr>
              <w:t xml:space="preserve">Option 1: </w:t>
            </w:r>
            <w:r w:rsidRPr="0034769A">
              <w:rPr>
                <w:sz w:val="20"/>
                <w:szCs w:val="20"/>
                <w:lang w:eastAsia="ko-KR"/>
              </w:rPr>
              <w:fldChar w:fldCharType="begin"/>
            </w:r>
            <w:r w:rsidRPr="0034769A">
              <w:rPr>
                <w:sz w:val="20"/>
                <w:szCs w:val="20"/>
                <w:lang w:eastAsia="ko-KR"/>
              </w:rPr>
              <w:instrText xml:space="preserve"> QUOTE </w:instrText>
            </w:r>
            <w:r w:rsidR="006B1E1E">
              <w:rPr>
                <w:noProof/>
                <w:position w:val="-11"/>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31.4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6D6&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406D6&quot; wsp:rsidP=&quot;002406D6&quot;&gt;&lt;m:oMathPara&gt;&lt;m:oMath&gt;&lt;m:r&gt;&lt;m:rPr&gt;&lt;m:nor/&gt;&lt;/m:rPr&gt;&lt;w:rPr&gt;&lt;w:b/&gt;&lt;w:b-cs/&gt;&lt;w:kern w:val=&quot;24&quot;/&gt;&lt;w:lang w:fareast=&quot;FI&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i&quot;/&gt;&lt;/m:rPr&gt;&lt;w:rPr&gt;&lt;w:rFonts w:ascii=&quot;Cambria Math&quot; w:h-ansi=&quot;Cambria Math&quot;/&gt;&lt;wx:font wx:val=&quot;Cambria Math&quot;/&gt;&lt;w:b/&gt;&lt;w:i/&gt;&lt;w:kern w:val=&quot;24&quot;/&gt;&lt;w:lang w:fareast=&quot;FI&quot;/&gt;&lt;/w:rPr&gt;&lt;m:t&gt;=1-&lt;/m:t&gt;&lt;/m:r&gt;&lt;m:f&gt;&lt;m:fPr&gt;&lt;m:ctrlPr&gt;&lt;w:rPr&gt;&lt;w:rFonts w:ascii=&quot;Cambria Math&quot; w:h-ansi=&quot;Cambria Math&quot;/&gt;&lt;wx:font wx:val=&quot;Cambria Math&quot;/&gt;&lt;w:b/&gt;&lt;w:b-cs/&gt;&lt;w:i/&gt;&lt;w:kern w:val=&quot;24&quot;/&gt;&lt;w:lang w:fareast=&quot;FI&quot;/&gt;&lt;/w:rPr&gt;&lt;/m:ctrlPr&gt;&lt;/m:fPr&gt;&lt;m:num&gt;&lt;m:r&gt;&lt;m:rPr&gt;&lt;m:sty m:val=&quot;bi&quot;/&gt;&lt;/m:rPr&gt;&lt;w:rPr&gt;&lt;w:rFonts w:ascii=&quot;Cambria Math&quot; w:h-ansi=&quot;Cambria Math&quot;/&gt;&lt;wx:font wx:val=&quot;Cambria Math&quot;/&gt;&lt;w:b/&gt;&lt;w:i/&gt;&lt;w:kern w:val=&quot;24&quot;/&gt;&lt;w:lang w:fareast=&quot;FI&quot;/&gt;&lt;/w:rPr&gt;&lt;m:t&gt;N&lt;/m:t&gt;&lt;/m:r&gt;&lt;/m:num&gt;&lt;m:den&gt;&lt;m:r&gt;&lt;m:rPr&gt;&lt;m:sty m:val=&quot;bi&quot;/&gt;&lt;/m:rPr&gt;&lt;w:rPr&gt;&lt;w:rFonts w:ascii=&quot;Cambria Math&quot; w:h-ansi=&quot;Cambria Math&quot;/&gt;&lt;wx:font wx:val=&quot;Cambria Math&quot;/&gt;&lt;w:b/&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lang w:eastAsia="ko-KR"/>
              </w:rPr>
              <w:instrText xml:space="preserve"> </w:instrText>
            </w:r>
            <w:r w:rsidRPr="0034769A">
              <w:rPr>
                <w:sz w:val="20"/>
                <w:szCs w:val="20"/>
                <w:lang w:eastAsia="ko-KR"/>
              </w:rPr>
              <w:fldChar w:fldCharType="separate"/>
            </w:r>
            <w:r w:rsidR="006B1E1E">
              <w:rPr>
                <w:noProof/>
                <w:position w:val="-11"/>
                <w:sz w:val="20"/>
                <w:szCs w:val="20"/>
              </w:rPr>
              <w:pict>
                <v:shape id="_x0000_i1031" type="#_x0000_t75" alt="" style="width:131.4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6D6&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406D6&quot; wsp:rsidP=&quot;002406D6&quot;&gt;&lt;m:oMathPara&gt;&lt;m:oMath&gt;&lt;m:r&gt;&lt;m:rPr&gt;&lt;m:nor/&gt;&lt;/m:rPr&gt;&lt;w:rPr&gt;&lt;w:b/&gt;&lt;w:b-cs/&gt;&lt;w:kern w:val=&quot;24&quot;/&gt;&lt;w:lang w:fareast=&quot;FI&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i&quot;/&gt;&lt;/m:rPr&gt;&lt;w:rPr&gt;&lt;w:rFonts w:ascii=&quot;Cambria Math&quot; w:h-ansi=&quot;Cambria Math&quot;/&gt;&lt;wx:font wx:val=&quot;Cambria Math&quot;/&gt;&lt;w:b/&gt;&lt;w:i/&gt;&lt;w:kern w:val=&quot;24&quot;/&gt;&lt;w:lang w:fareast=&quot;FI&quot;/&gt;&lt;/w:rPr&gt;&lt;m:t&gt;=1-&lt;/m:t&gt;&lt;/m:r&gt;&lt;m:f&gt;&lt;m:fPr&gt;&lt;m:ctrlPr&gt;&lt;w:rPr&gt;&lt;w:rFonts w:ascii=&quot;Cambria Math&quot; w:h-ansi=&quot;Cambria Math&quot;/&gt;&lt;wx:font wx:val=&quot;Cambria Math&quot;/&gt;&lt;w:b/&gt;&lt;w:b-cs/&gt;&lt;w:i/&gt;&lt;w:kern w:val=&quot;24&quot;/&gt;&lt;w:lang w:fareast=&quot;FI&quot;/&gt;&lt;/w:rPr&gt;&lt;/m:ctrlPr&gt;&lt;/m:fPr&gt;&lt;m:num&gt;&lt;m:r&gt;&lt;m:rPr&gt;&lt;m:sty m:val=&quot;bi&quot;/&gt;&lt;/m:rPr&gt;&lt;w:rPr&gt;&lt;w:rFonts w:ascii=&quot;Cambria Math&quot; w:h-ansi=&quot;Cambria Math&quot;/&gt;&lt;wx:font wx:val=&quot;Cambria Math&quot;/&gt;&lt;w:b/&gt;&lt;w:i/&gt;&lt;w:kern w:val=&quot;24&quot;/&gt;&lt;w:lang w:fareast=&quot;FI&quot;/&gt;&lt;/w:rPr&gt;&lt;m:t&gt;N&lt;/m:t&gt;&lt;/m:r&gt;&lt;/m:num&gt;&lt;m:den&gt;&lt;m:r&gt;&lt;m:rPr&gt;&lt;m:sty m:val=&quot;bi&quot;/&gt;&lt;/m:rPr&gt;&lt;w:rPr&gt;&lt;w:rFonts w:ascii=&quot;Cambria Math&quot; w:h-ansi=&quot;Cambria Math&quot;/&gt;&lt;wx:font wx:val=&quot;Cambria Math&quot;/&gt;&lt;w:b/&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lang w:eastAsia="ko-KR"/>
              </w:rPr>
              <w:fldChar w:fldCharType="end"/>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N is the number of beams (pairs) (with reference signal (SSB and/or CSI-RS)) required for measurement for AI/ML</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 xml:space="preserve">where M is the total number of beams (pairs) to be predicted </w:t>
            </w:r>
          </w:p>
          <w:p w:rsidR="00735896" w:rsidRPr="0034769A" w:rsidRDefault="00735896" w:rsidP="00735896">
            <w:pPr>
              <w:numPr>
                <w:ilvl w:val="2"/>
                <w:numId w:val="25"/>
              </w:numPr>
              <w:ind w:left="1800"/>
              <w:contextualSpacing/>
              <w:rPr>
                <w:sz w:val="20"/>
                <w:szCs w:val="20"/>
                <w:lang w:eastAsia="ko-KR"/>
              </w:rPr>
            </w:pPr>
            <w:r w:rsidRPr="0034769A">
              <w:rPr>
                <w:sz w:val="20"/>
                <w:szCs w:val="20"/>
                <w:lang w:eastAsia="ko-KR"/>
              </w:rPr>
              <w:lastRenderedPageBreak/>
              <w:t xml:space="preserve">Option 2: </w:t>
            </w:r>
            <w:r w:rsidRPr="0034769A">
              <w:rPr>
                <w:sz w:val="20"/>
                <w:szCs w:val="20"/>
                <w:lang w:eastAsia="ko-KR"/>
              </w:rPr>
              <w:fldChar w:fldCharType="begin"/>
            </w:r>
            <w:r w:rsidRPr="0034769A">
              <w:rPr>
                <w:sz w:val="20"/>
                <w:szCs w:val="20"/>
                <w:lang w:eastAsia="ko-KR"/>
              </w:rPr>
              <w:instrText xml:space="preserve"> QUOTE </w:instrText>
            </w:r>
            <w:r w:rsidR="006B1E1E">
              <w:rPr>
                <w:noProof/>
                <w:position w:val="-11"/>
                <w:sz w:val="20"/>
                <w:szCs w:val="20"/>
              </w:rPr>
              <w:pict>
                <v:shape id="_x0000_i1030" type="#_x0000_t75" alt="" style="width:131.4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99&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A4B99&quot; wsp:rsidP=&quot;008A4B99&quot;&gt;&lt;m:oMathPara&gt;&lt;m:oMath&gt;&lt;m:r&gt;&lt;m:rPr&gt;&lt;m:nor/&gt;&lt;/m:rPr&gt;&lt;w:rPr&gt;&lt;w:b/&gt;&lt;w:b-cs/&gt;&lt;w:kern w:val=&quot;24&quot;/&gt;&lt;w:lang w:fareast=&quot;FI&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i&quot;/&gt;&lt;/m:rPr&gt;&lt;w:rPr&gt;&lt;w:rFonts w:ascii=&quot;Cambria Math&quot; w:h-ansi=&quot;Cambria Math&quot;/&gt;&lt;wx:font wx:val=&quot;Cambria Math&quot;/&gt;&lt;w:b/&gt;&lt;w:i/&gt;&lt;w:kern w:val=&quot;24&quot;/&gt;&lt;w:lang w:fareast=&quot;FI&quot;/&gt;&lt;/w:rPr&gt;&lt;m:t&gt;=1-&lt;/m:t&gt;&lt;/m:r&gt;&lt;m:f&gt;&lt;m:fPr&gt;&lt;m:ctrlPr&gt;&lt;w:rPr&gt;&lt;w:rFonts w:ascii=&quot;Cambria Math&quot; w:h-ansi=&quot;Cambria Math&quot;/&gt;&lt;wx:font wx:val=&quot;Cambria Math&quot;/&gt;&lt;w:b/&gt;&lt;w:b-cs/&gt;&lt;w:i/&gt;&lt;w:kern w:val=&quot;24&quot;/&gt;&lt;w:lang w:fareast=&quot;FI&quot;/&gt;&lt;/w:rPr&gt;&lt;/m:ctrlPr&gt;&lt;/m:fPr&gt;&lt;m:num&gt;&lt;m:r&gt;&lt;m:rPr&gt;&lt;m:sty m:val=&quot;bi&quot;/&gt;&lt;/m:rPr&gt;&lt;w:rPr&gt;&lt;w:rFonts w:ascii=&quot;Cambria Math&quot; w:h-ansi=&quot;Cambria Math&quot;/&gt;&lt;wx:font wx:val=&quot;Cambria Math&quot;/&gt;&lt;w:b/&gt;&lt;w:i/&gt;&lt;w:kern w:val=&quot;24&quot;/&gt;&lt;w:lang w:fareast=&quot;FI&quot;/&gt;&lt;/w:rPr&gt;&lt;m:t&gt;N&lt;/m:t&gt;&lt;/m:r&gt;&lt;/m:num&gt;&lt;m:den&gt;&lt;m:r&gt;&lt;m:rPr&gt;&lt;m:sty m:val=&quot;bi&quot;/&gt;&lt;/m:rPr&gt;&lt;w:rPr&gt;&lt;w:rFonts w:ascii=&quot;Cambria Math&quot; w:h-ansi=&quot;Cambria Math&quot;/&gt;&lt;wx:font wx:val=&quot;Cambria Math&quot;/&gt;&lt;w:b/&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lang w:eastAsia="ko-KR"/>
              </w:rPr>
              <w:instrText xml:space="preserve"> </w:instrText>
            </w:r>
            <w:r w:rsidRPr="0034769A">
              <w:rPr>
                <w:sz w:val="20"/>
                <w:szCs w:val="20"/>
                <w:lang w:eastAsia="ko-KR"/>
              </w:rPr>
              <w:fldChar w:fldCharType="separate"/>
            </w:r>
            <w:r w:rsidR="006B1E1E">
              <w:rPr>
                <w:noProof/>
                <w:position w:val="-11"/>
                <w:sz w:val="20"/>
                <w:szCs w:val="20"/>
              </w:rPr>
              <w:pict>
                <v:shape id="_x0000_i1029" type="#_x0000_t75" alt="" style="width:131.4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B99&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A4B99&quot; wsp:rsidP=&quot;008A4B99&quot;&gt;&lt;m:oMathPara&gt;&lt;m:oMath&gt;&lt;m:r&gt;&lt;m:rPr&gt;&lt;m:nor/&gt;&lt;/m:rPr&gt;&lt;w:rPr&gt;&lt;w:b/&gt;&lt;w:b-cs/&gt;&lt;w:kern w:val=&quot;24&quot;/&gt;&lt;w:lang w:fareast=&quot;FI&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i&quot;/&gt;&lt;/m:rPr&gt;&lt;w:rPr&gt;&lt;w:rFonts w:ascii=&quot;Cambria Math&quot; w:h-ansi=&quot;Cambria Math&quot;/&gt;&lt;wx:font wx:val=&quot;Cambria Math&quot;/&gt;&lt;w:b/&gt;&lt;w:i/&gt;&lt;w:kern w:val=&quot;24&quot;/&gt;&lt;w:lang w:fareast=&quot;FI&quot;/&gt;&lt;/w:rPr&gt;&lt;m:t&gt;=1-&lt;/m:t&gt;&lt;/m:r&gt;&lt;m:f&gt;&lt;m:fPr&gt;&lt;m:ctrlPr&gt;&lt;w:rPr&gt;&lt;w:rFonts w:ascii=&quot;Cambria Math&quot; w:h-ansi=&quot;Cambria Math&quot;/&gt;&lt;wx:font wx:val=&quot;Cambria Math&quot;/&gt;&lt;w:b/&gt;&lt;w:b-cs/&gt;&lt;w:i/&gt;&lt;w:kern w:val=&quot;24&quot;/&gt;&lt;w:lang w:fareast=&quot;FI&quot;/&gt;&lt;/w:rPr&gt;&lt;/m:ctrlPr&gt;&lt;/m:fPr&gt;&lt;m:num&gt;&lt;m:r&gt;&lt;m:rPr&gt;&lt;m:sty m:val=&quot;bi&quot;/&gt;&lt;/m:rPr&gt;&lt;w:rPr&gt;&lt;w:rFonts w:ascii=&quot;Cambria Math&quot; w:h-ansi=&quot;Cambria Math&quot;/&gt;&lt;wx:font wx:val=&quot;Cambria Math&quot;/&gt;&lt;w:b/&gt;&lt;w:i/&gt;&lt;w:kern w:val=&quot;24&quot;/&gt;&lt;w:lang w:fareast=&quot;FI&quot;/&gt;&lt;/w:rPr&gt;&lt;m:t&gt;N&lt;/m:t&gt;&lt;/m:r&gt;&lt;/m:num&gt;&lt;m:den&gt;&lt;m:r&gt;&lt;m:rPr&gt;&lt;m:sty m:val=&quot;bi&quot;/&gt;&lt;/m:rPr&gt;&lt;w:rPr&gt;&lt;w:rFonts w:ascii=&quot;Cambria Math&quot; w:h-ansi=&quot;Cambria Math&quot;/&gt;&lt;wx:font wx:val=&quot;Cambria Math&quot;/&gt;&lt;w:b/&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lang w:eastAsia="ko-KR"/>
              </w:rPr>
              <w:fldChar w:fldCharType="end"/>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N is the total number of beams (pairs) (with reference signal (SSB and/or CSI-RS)) required for measurement for AI/ML, including the beams (pairs) required for additional measurements before/after the prediction if applicable</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M is the total number of beams (pairs) (with reference signal (SSB and/or CSI-RS)) required for measurement for baseline scheme, including the beams (pairs) required for additional measurements before/after the prediction if applicable</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Companies report the assumption on additional measurements</w:t>
            </w:r>
          </w:p>
          <w:p w:rsidR="00735896" w:rsidRPr="0034769A" w:rsidRDefault="00735896" w:rsidP="00735896">
            <w:pPr>
              <w:rPr>
                <w:sz w:val="20"/>
                <w:szCs w:val="20"/>
                <w:lang w:eastAsia="x-none"/>
              </w:rPr>
            </w:pPr>
          </w:p>
          <w:p w:rsidR="00735896" w:rsidRPr="0034769A" w:rsidRDefault="00735896" w:rsidP="00735896">
            <w:pPr>
              <w:rPr>
                <w:sz w:val="20"/>
                <w:szCs w:val="20"/>
                <w:lang w:eastAsia="x-none"/>
              </w:rPr>
            </w:pPr>
          </w:p>
          <w:p w:rsidR="00735896" w:rsidRPr="0034769A" w:rsidRDefault="00735896" w:rsidP="00735896">
            <w:pPr>
              <w:tabs>
                <w:tab w:val="left" w:pos="1710"/>
              </w:tabs>
              <w:rPr>
                <w:sz w:val="20"/>
                <w:szCs w:val="20"/>
                <w:highlight w:val="green"/>
              </w:rPr>
            </w:pPr>
            <w:r w:rsidRPr="0034769A">
              <w:rPr>
                <w:sz w:val="20"/>
                <w:szCs w:val="20"/>
                <w:highlight w:val="green"/>
              </w:rPr>
              <w:t>Agreement</w:t>
            </w:r>
          </w:p>
          <w:p w:rsidR="00735896" w:rsidRPr="0034769A" w:rsidRDefault="00735896" w:rsidP="00735896">
            <w:pPr>
              <w:pStyle w:val="ListParagraph"/>
              <w:widowControl w:val="0"/>
              <w:numPr>
                <w:ilvl w:val="0"/>
                <w:numId w:val="33"/>
              </w:numPr>
              <w:ind w:leftChars="0" w:left="426"/>
              <w:contextualSpacing/>
              <w:jc w:val="both"/>
              <w:rPr>
                <w:rFonts w:ascii="Times New Roman" w:hAnsi="Times New Roman"/>
                <w:szCs w:val="20"/>
              </w:rPr>
            </w:pPr>
            <w:r w:rsidRPr="0034769A">
              <w:rPr>
                <w:rFonts w:ascii="Times New Roman" w:hAnsi="Times New Roman"/>
                <w:szCs w:val="20"/>
              </w:rPr>
              <w:t>Companies report the pattern of Set B.</w:t>
            </w:r>
          </w:p>
          <w:p w:rsidR="00735896" w:rsidRPr="0034769A" w:rsidRDefault="00735896" w:rsidP="00735896">
            <w:pPr>
              <w:pStyle w:val="ListParagraph"/>
              <w:widowControl w:val="0"/>
              <w:numPr>
                <w:ilvl w:val="0"/>
                <w:numId w:val="33"/>
              </w:numPr>
              <w:ind w:leftChars="0" w:left="426"/>
              <w:contextualSpacing/>
              <w:jc w:val="both"/>
              <w:rPr>
                <w:rFonts w:ascii="Times New Roman" w:hAnsi="Times New Roman"/>
                <w:szCs w:val="20"/>
              </w:rPr>
            </w:pPr>
            <w:r w:rsidRPr="0034769A">
              <w:rPr>
                <w:rFonts w:ascii="Times New Roman" w:hAnsi="Times New Roman"/>
                <w:szCs w:val="20"/>
              </w:rPr>
              <w:t xml:space="preserve">Further study the performance with different patterns of set B(s) for fixed Set B (Option 1) and different pre-configured/pre-known patterns of Set B(s) (Option 2A and 2B). </w:t>
            </w:r>
          </w:p>
          <w:p w:rsidR="00735896" w:rsidRPr="0034769A" w:rsidRDefault="00735896" w:rsidP="00735896">
            <w:pPr>
              <w:pStyle w:val="ListParagraph"/>
              <w:tabs>
                <w:tab w:val="left" w:pos="1710"/>
              </w:tabs>
              <w:ind w:left="1680"/>
              <w:rPr>
                <w:rFonts w:ascii="Times New Roman" w:hAnsi="Times New Roman"/>
                <w:szCs w:val="20"/>
                <w:highlight w:val="yellow"/>
              </w:rPr>
            </w:pPr>
          </w:p>
          <w:p w:rsidR="00735896" w:rsidRPr="0034769A" w:rsidRDefault="00735896" w:rsidP="00735896">
            <w:pPr>
              <w:rPr>
                <w:sz w:val="20"/>
                <w:szCs w:val="20"/>
                <w:highlight w:val="green"/>
              </w:rPr>
            </w:pPr>
            <w:r w:rsidRPr="0034769A">
              <w:rPr>
                <w:sz w:val="20"/>
                <w:szCs w:val="20"/>
                <w:highlight w:val="green"/>
              </w:rPr>
              <w:t>Agreement</w:t>
            </w:r>
          </w:p>
          <w:p w:rsidR="00735896" w:rsidRPr="0034769A" w:rsidRDefault="00735896" w:rsidP="00735896">
            <w:pPr>
              <w:contextualSpacing/>
              <w:rPr>
                <w:sz w:val="20"/>
                <w:szCs w:val="20"/>
                <w:lang w:eastAsia="ko-KR"/>
              </w:rPr>
            </w:pPr>
            <w:r w:rsidRPr="0034769A">
              <w:rPr>
                <w:sz w:val="20"/>
                <w:szCs w:val="20"/>
                <w:lang w:eastAsia="ko-KR"/>
              </w:rPr>
              <w:t>For BM Case-1 and BM Case 2, to verify the generalization performance of an AI/ML model over various scenarios/configurations, additionally considering</w:t>
            </w:r>
          </w:p>
          <w:p w:rsidR="00735896" w:rsidRPr="0034769A" w:rsidRDefault="00735896" w:rsidP="00735896">
            <w:pPr>
              <w:pStyle w:val="ListParagraph"/>
              <w:widowControl w:val="0"/>
              <w:numPr>
                <w:ilvl w:val="0"/>
                <w:numId w:val="34"/>
              </w:numPr>
              <w:ind w:leftChars="0"/>
              <w:contextualSpacing/>
              <w:jc w:val="both"/>
              <w:rPr>
                <w:rFonts w:ascii="Times New Roman" w:hAnsi="Times New Roman"/>
                <w:szCs w:val="20"/>
                <w:lang w:eastAsia="ko-KR"/>
              </w:rPr>
            </w:pPr>
            <w:r w:rsidRPr="0034769A">
              <w:rPr>
                <w:rFonts w:ascii="Times New Roman" w:hAnsi="Times New Roman"/>
                <w:szCs w:val="20"/>
              </w:rPr>
              <w:t>Various Set B of beam(pairs)</w:t>
            </w:r>
          </w:p>
          <w:p w:rsidR="00735896" w:rsidRPr="0034769A" w:rsidRDefault="00735896" w:rsidP="00735896">
            <w:pPr>
              <w:pStyle w:val="ListParagraph"/>
              <w:widowControl w:val="0"/>
              <w:ind w:left="1680"/>
              <w:jc w:val="both"/>
              <w:rPr>
                <w:rFonts w:ascii="Times New Roman" w:eastAsia="DengXian" w:hAnsi="Times New Roman"/>
                <w:szCs w:val="20"/>
              </w:rPr>
            </w:pPr>
          </w:p>
          <w:p w:rsidR="00735896" w:rsidRPr="0034769A" w:rsidRDefault="00735896" w:rsidP="00735896">
            <w:pPr>
              <w:rPr>
                <w:sz w:val="20"/>
                <w:szCs w:val="20"/>
                <w:highlight w:val="green"/>
              </w:rPr>
            </w:pPr>
            <w:r w:rsidRPr="0034769A">
              <w:rPr>
                <w:sz w:val="20"/>
                <w:szCs w:val="20"/>
                <w:highlight w:val="green"/>
              </w:rPr>
              <w:t>Agreement</w:t>
            </w:r>
          </w:p>
          <w:p w:rsidR="00735896" w:rsidRPr="0034769A" w:rsidRDefault="00735896" w:rsidP="00735896">
            <w:pPr>
              <w:rPr>
                <w:sz w:val="20"/>
                <w:szCs w:val="20"/>
              </w:rPr>
            </w:pPr>
            <w:r w:rsidRPr="0034769A">
              <w:rPr>
                <w:sz w:val="20"/>
                <w:szCs w:val="20"/>
              </w:rPr>
              <w:t>At least for evaluation on the performance of DL Tx beam prediction, consider the following options for Rx beam for providing input for AI/ML model for training and/or inference if applicable</w:t>
            </w:r>
          </w:p>
          <w:p w:rsidR="00735896" w:rsidRPr="0034769A" w:rsidRDefault="00735896" w:rsidP="00735896">
            <w:pPr>
              <w:pStyle w:val="ListParagraph"/>
              <w:widowControl w:val="0"/>
              <w:numPr>
                <w:ilvl w:val="0"/>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Option 1: Measurements of the “best” Rx beam with exhaustive beam sweeping for each model input sample</w:t>
            </w:r>
          </w:p>
          <w:p w:rsidR="00735896" w:rsidRPr="0034769A" w:rsidRDefault="00735896" w:rsidP="00735896">
            <w:pPr>
              <w:pStyle w:val="ListParagraph"/>
              <w:widowControl w:val="0"/>
              <w:numPr>
                <w:ilvl w:val="0"/>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Option 2: Measurements of specific Rx beam(s)</w:t>
            </w:r>
          </w:p>
          <w:p w:rsidR="00735896" w:rsidRPr="0034769A" w:rsidRDefault="00735896" w:rsidP="00735896">
            <w:pPr>
              <w:pStyle w:val="ListParagraph"/>
              <w:widowControl w:val="0"/>
              <w:numPr>
                <w:ilvl w:val="1"/>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 xml:space="preserve">Option 2a: Measurements of specific Rx beam(s) per model input sample </w:t>
            </w:r>
          </w:p>
          <w:p w:rsidR="00735896" w:rsidRPr="0034769A" w:rsidRDefault="00735896" w:rsidP="00735896">
            <w:pPr>
              <w:pStyle w:val="ListParagraph"/>
              <w:widowControl w:val="0"/>
              <w:numPr>
                <w:ilvl w:val="1"/>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Option 2b: Measurements of specific Rx beam(s) for all model input sample</w:t>
            </w:r>
          </w:p>
          <w:p w:rsidR="00735896" w:rsidRPr="0034769A" w:rsidRDefault="00735896" w:rsidP="00735896">
            <w:pPr>
              <w:pStyle w:val="ListParagraph"/>
              <w:widowControl w:val="0"/>
              <w:numPr>
                <w:ilvl w:val="1"/>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FFS how to select the specific Rx beam(s)</w:t>
            </w:r>
          </w:p>
          <w:p w:rsidR="00735896" w:rsidRPr="0034769A" w:rsidRDefault="00735896" w:rsidP="00735896">
            <w:pPr>
              <w:pStyle w:val="ListParagraph"/>
              <w:widowControl w:val="0"/>
              <w:numPr>
                <w:ilvl w:val="0"/>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Option 3: Measurements of random Rx beam(s) per model input sample</w:t>
            </w:r>
          </w:p>
          <w:p w:rsidR="00735896" w:rsidRPr="0034769A" w:rsidRDefault="00735896" w:rsidP="00735896">
            <w:pPr>
              <w:pStyle w:val="ListParagraph"/>
              <w:widowControl w:val="0"/>
              <w:numPr>
                <w:ilvl w:val="0"/>
                <w:numId w:val="33"/>
              </w:numPr>
              <w:ind w:leftChars="0"/>
              <w:contextualSpacing/>
              <w:jc w:val="both"/>
              <w:rPr>
                <w:rFonts w:ascii="Times New Roman" w:hAnsi="Times New Roman"/>
                <w:szCs w:val="20"/>
                <w:lang w:eastAsia="en-US"/>
              </w:rPr>
            </w:pPr>
            <w:r w:rsidRPr="0034769A">
              <w:rPr>
                <w:rFonts w:ascii="Times New Roman" w:hAnsi="Times New Roman"/>
                <w:szCs w:val="20"/>
                <w:lang w:eastAsia="en-US"/>
              </w:rPr>
              <w:t>Other options are not precluded and can be reported by companies.</w:t>
            </w:r>
          </w:p>
          <w:p w:rsidR="00735896" w:rsidRPr="0034769A" w:rsidRDefault="00735896" w:rsidP="00735896">
            <w:pPr>
              <w:pStyle w:val="ListParagraph"/>
              <w:widowControl w:val="0"/>
              <w:ind w:left="1680"/>
              <w:jc w:val="both"/>
              <w:rPr>
                <w:rFonts w:ascii="Times New Roman" w:eastAsia="DengXian" w:hAnsi="Times New Roman"/>
                <w:szCs w:val="20"/>
              </w:rPr>
            </w:pPr>
          </w:p>
          <w:p w:rsidR="00735896" w:rsidRPr="0034769A" w:rsidRDefault="00735896" w:rsidP="00735896">
            <w:pPr>
              <w:pStyle w:val="ListParagraph"/>
              <w:widowControl w:val="0"/>
              <w:ind w:left="1680"/>
              <w:jc w:val="both"/>
              <w:rPr>
                <w:rFonts w:ascii="Times New Roman" w:eastAsia="DengXian" w:hAnsi="Times New Roman"/>
                <w:szCs w:val="20"/>
              </w:rPr>
            </w:pPr>
          </w:p>
          <w:p w:rsidR="00735896" w:rsidRPr="0034769A" w:rsidRDefault="00735896" w:rsidP="00735896">
            <w:pPr>
              <w:rPr>
                <w:sz w:val="20"/>
                <w:szCs w:val="20"/>
                <w:lang w:eastAsia="x-none"/>
              </w:rPr>
            </w:pPr>
          </w:p>
          <w:p w:rsidR="00735896" w:rsidRPr="0034769A" w:rsidRDefault="00735896" w:rsidP="00735896">
            <w:pPr>
              <w:keepNext/>
              <w:rPr>
                <w:sz w:val="20"/>
                <w:szCs w:val="20"/>
                <w:highlight w:val="green"/>
                <w:lang w:eastAsia="ko-KR"/>
              </w:rPr>
            </w:pPr>
            <w:r w:rsidRPr="0034769A">
              <w:rPr>
                <w:sz w:val="20"/>
                <w:szCs w:val="20"/>
                <w:highlight w:val="green"/>
                <w:lang w:eastAsia="ko-KR"/>
              </w:rPr>
              <w:t>Agreement</w:t>
            </w:r>
          </w:p>
          <w:p w:rsidR="00735896" w:rsidRPr="0034769A" w:rsidRDefault="00735896" w:rsidP="00735896">
            <w:pPr>
              <w:widowControl w:val="0"/>
              <w:numPr>
                <w:ilvl w:val="0"/>
                <w:numId w:val="28"/>
              </w:numPr>
              <w:contextualSpacing/>
              <w:jc w:val="both"/>
              <w:rPr>
                <w:sz w:val="20"/>
                <w:szCs w:val="20"/>
                <w:lang w:eastAsia="ko-KR"/>
              </w:rPr>
            </w:pPr>
            <w:r w:rsidRPr="0034769A">
              <w:rPr>
                <w:sz w:val="20"/>
                <w:szCs w:val="20"/>
                <w:lang w:eastAsia="ko-KR"/>
              </w:rPr>
              <w:t>For generalization performance verification, consider the following</w:t>
            </w:r>
          </w:p>
          <w:p w:rsidR="00735896" w:rsidRPr="0034769A" w:rsidRDefault="00735896" w:rsidP="00735896">
            <w:pPr>
              <w:numPr>
                <w:ilvl w:val="1"/>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Scenarios</w:t>
            </w:r>
          </w:p>
          <w:p w:rsidR="00735896" w:rsidRPr="0034769A" w:rsidRDefault="00735896" w:rsidP="00735896">
            <w:pPr>
              <w:numPr>
                <w:ilvl w:val="2"/>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Various deployment scenarios,</w:t>
            </w:r>
          </w:p>
          <w:p w:rsidR="00735896" w:rsidRPr="0034769A" w:rsidRDefault="00735896" w:rsidP="00735896">
            <w:pPr>
              <w:numPr>
                <w:ilvl w:val="3"/>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e.g., UMa, UMi and others,</w:t>
            </w:r>
          </w:p>
          <w:p w:rsidR="00735896" w:rsidRPr="0034769A" w:rsidRDefault="00735896" w:rsidP="00735896">
            <w:pPr>
              <w:numPr>
                <w:ilvl w:val="3"/>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e.g., 200m ISD or 500m ISD and others</w:t>
            </w:r>
          </w:p>
          <w:p w:rsidR="00735896" w:rsidRPr="0034769A" w:rsidRDefault="00735896" w:rsidP="00735896">
            <w:pPr>
              <w:numPr>
                <w:ilvl w:val="3"/>
                <w:numId w:val="28"/>
              </w:numPr>
              <w:autoSpaceDE w:val="0"/>
              <w:autoSpaceDN w:val="0"/>
              <w:adjustRightInd w:val="0"/>
              <w:snapToGrid w:val="0"/>
              <w:spacing w:line="256" w:lineRule="auto"/>
              <w:jc w:val="both"/>
              <w:rPr>
                <w:sz w:val="20"/>
                <w:szCs w:val="20"/>
                <w:lang w:eastAsia="ko-KR"/>
              </w:rPr>
            </w:pPr>
            <w:r w:rsidRPr="0034769A">
              <w:rPr>
                <w:rFonts w:eastAsia="DengXian"/>
                <w:sz w:val="20"/>
                <w:szCs w:val="20"/>
              </w:rPr>
              <w:t>e.g., same deployment, different cells with different configuration/assumption</w:t>
            </w:r>
          </w:p>
          <w:p w:rsidR="00735896" w:rsidRPr="0034769A" w:rsidRDefault="00735896" w:rsidP="00735896">
            <w:pPr>
              <w:numPr>
                <w:ilvl w:val="3"/>
                <w:numId w:val="28"/>
              </w:numPr>
              <w:autoSpaceDE w:val="0"/>
              <w:autoSpaceDN w:val="0"/>
              <w:adjustRightInd w:val="0"/>
              <w:snapToGrid w:val="0"/>
              <w:spacing w:line="256" w:lineRule="auto"/>
              <w:jc w:val="both"/>
              <w:rPr>
                <w:sz w:val="20"/>
                <w:szCs w:val="20"/>
                <w:lang w:eastAsia="ko-KR"/>
              </w:rPr>
            </w:pPr>
            <w:r w:rsidRPr="0034769A">
              <w:rPr>
                <w:rFonts w:eastAsia="DengXian"/>
                <w:sz w:val="20"/>
                <w:szCs w:val="20"/>
              </w:rPr>
              <w:t>e.g., gNB height and UE height</w:t>
            </w:r>
          </w:p>
          <w:p w:rsidR="00735896" w:rsidRPr="0034769A" w:rsidRDefault="00735896" w:rsidP="00735896">
            <w:pPr>
              <w:numPr>
                <w:ilvl w:val="3"/>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FFS: e.g., Carrier frequencies</w:t>
            </w:r>
          </w:p>
          <w:p w:rsidR="00735896" w:rsidRPr="0034769A" w:rsidRDefault="00735896" w:rsidP="00735896">
            <w:pPr>
              <w:numPr>
                <w:ilvl w:val="2"/>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Various outdoor/indoor UE distributions, e.g., 100%/0%, 20%/80%, and others</w:t>
            </w:r>
          </w:p>
          <w:p w:rsidR="00735896" w:rsidRPr="0034769A" w:rsidRDefault="00735896" w:rsidP="00735896">
            <w:pPr>
              <w:pStyle w:val="ListParagraph"/>
              <w:widowControl w:val="0"/>
              <w:numPr>
                <w:ilvl w:val="2"/>
                <w:numId w:val="28"/>
              </w:numPr>
              <w:ind w:leftChars="0"/>
              <w:contextualSpacing/>
              <w:jc w:val="both"/>
              <w:rPr>
                <w:rFonts w:ascii="Times New Roman" w:hAnsi="Times New Roman"/>
                <w:szCs w:val="20"/>
                <w:lang w:eastAsia="ko-KR"/>
              </w:rPr>
            </w:pPr>
            <w:r w:rsidRPr="0034769A">
              <w:rPr>
                <w:rFonts w:ascii="Times New Roman" w:hAnsi="Times New Roman"/>
                <w:szCs w:val="20"/>
                <w:lang w:eastAsia="ko-KR"/>
              </w:rPr>
              <w:t xml:space="preserve">Various UE mobility, </w:t>
            </w:r>
          </w:p>
          <w:p w:rsidR="00735896" w:rsidRPr="0034769A" w:rsidRDefault="00735896" w:rsidP="00735896">
            <w:pPr>
              <w:pStyle w:val="ListParagraph"/>
              <w:widowControl w:val="0"/>
              <w:numPr>
                <w:ilvl w:val="3"/>
                <w:numId w:val="28"/>
              </w:numPr>
              <w:ind w:leftChars="0"/>
              <w:contextualSpacing/>
              <w:jc w:val="both"/>
              <w:rPr>
                <w:rFonts w:ascii="Times New Roman" w:hAnsi="Times New Roman"/>
                <w:szCs w:val="20"/>
                <w:lang w:eastAsia="ko-KR"/>
              </w:rPr>
            </w:pPr>
            <w:r w:rsidRPr="0034769A">
              <w:rPr>
                <w:rFonts w:ascii="Times New Roman" w:hAnsi="Times New Roman"/>
                <w:szCs w:val="20"/>
                <w:lang w:eastAsia="ko-KR"/>
              </w:rPr>
              <w:t>e.g., 3km/h, 30km/h, 60km/h and others</w:t>
            </w:r>
          </w:p>
          <w:p w:rsidR="00735896" w:rsidRPr="0034769A" w:rsidRDefault="00735896" w:rsidP="00735896">
            <w:pPr>
              <w:numPr>
                <w:ilvl w:val="1"/>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Configurations (parameters and settings)</w:t>
            </w:r>
          </w:p>
          <w:p w:rsidR="00735896" w:rsidRPr="0034769A" w:rsidRDefault="00735896" w:rsidP="00735896">
            <w:pPr>
              <w:numPr>
                <w:ilvl w:val="2"/>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Various UE parameters, e.g., number of UE Rx beams (including number of panels and UE antenna array dimensions)</w:t>
            </w:r>
          </w:p>
          <w:p w:rsidR="00735896" w:rsidRPr="0034769A" w:rsidRDefault="00735896" w:rsidP="00735896">
            <w:pPr>
              <w:numPr>
                <w:ilvl w:val="2"/>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Various gNB settings, e.g., DL Tx beam codebook (including various Set A of beam(pairs) and gNB antenna array dimensions)</w:t>
            </w:r>
          </w:p>
          <w:p w:rsidR="00735896" w:rsidRPr="0034769A" w:rsidRDefault="00735896" w:rsidP="00735896">
            <w:pPr>
              <w:numPr>
                <w:ilvl w:val="2"/>
                <w:numId w:val="28"/>
              </w:numPr>
              <w:autoSpaceDE w:val="0"/>
              <w:autoSpaceDN w:val="0"/>
              <w:adjustRightInd w:val="0"/>
              <w:snapToGrid w:val="0"/>
              <w:spacing w:line="256" w:lineRule="auto"/>
              <w:jc w:val="both"/>
              <w:rPr>
                <w:sz w:val="20"/>
                <w:szCs w:val="20"/>
                <w:lang w:eastAsia="ko-KR"/>
              </w:rPr>
            </w:pPr>
            <w:r w:rsidRPr="0034769A">
              <w:rPr>
                <w:rFonts w:eastAsia="SimSun"/>
                <w:sz w:val="20"/>
                <w:szCs w:val="20"/>
                <w:lang w:eastAsia="ko-KR"/>
              </w:rPr>
              <w:t>V</w:t>
            </w:r>
            <w:r w:rsidRPr="0034769A">
              <w:rPr>
                <w:sz w:val="20"/>
                <w:szCs w:val="20"/>
                <w:lang w:eastAsia="ko-KR"/>
              </w:rPr>
              <w:t>arious Set B of beam (pairs)</w:t>
            </w:r>
          </w:p>
          <w:p w:rsidR="00735896" w:rsidRPr="0034769A" w:rsidRDefault="00735896" w:rsidP="00735896">
            <w:pPr>
              <w:numPr>
                <w:ilvl w:val="2"/>
                <w:numId w:val="28"/>
              </w:numPr>
              <w:autoSpaceDE w:val="0"/>
              <w:autoSpaceDN w:val="0"/>
              <w:adjustRightInd w:val="0"/>
              <w:snapToGrid w:val="0"/>
              <w:spacing w:line="256" w:lineRule="auto"/>
              <w:jc w:val="both"/>
              <w:rPr>
                <w:sz w:val="20"/>
                <w:szCs w:val="20"/>
                <w:lang w:eastAsia="ko-KR"/>
              </w:rPr>
            </w:pPr>
            <w:r w:rsidRPr="0034769A">
              <w:rPr>
                <w:sz w:val="20"/>
                <w:szCs w:val="20"/>
                <w:lang w:eastAsia="ko-KR"/>
              </w:rPr>
              <w:t>T1 for measurement /T2 for prediction for BM-Case2</w:t>
            </w:r>
          </w:p>
          <w:p w:rsidR="00735896" w:rsidRPr="0034769A" w:rsidRDefault="00735896" w:rsidP="00735896">
            <w:pPr>
              <w:numPr>
                <w:ilvl w:val="1"/>
                <w:numId w:val="28"/>
              </w:numPr>
              <w:autoSpaceDE w:val="0"/>
              <w:autoSpaceDN w:val="0"/>
              <w:adjustRightInd w:val="0"/>
              <w:snapToGrid w:val="0"/>
              <w:spacing w:line="256" w:lineRule="auto"/>
              <w:jc w:val="both"/>
              <w:rPr>
                <w:sz w:val="20"/>
                <w:szCs w:val="20"/>
                <w:lang w:eastAsia="ko-KR"/>
              </w:rPr>
            </w:pPr>
            <w:r w:rsidRPr="0034769A">
              <w:rPr>
                <w:sz w:val="20"/>
                <w:szCs w:val="20"/>
                <w:lang w:eastAsia="ko-KR"/>
              </w:rPr>
              <w:lastRenderedPageBreak/>
              <w:t>Other scenarios/</w:t>
            </w:r>
            <w:proofErr w:type="gramStart"/>
            <w:r w:rsidRPr="0034769A">
              <w:rPr>
                <w:sz w:val="20"/>
                <w:szCs w:val="20"/>
                <w:lang w:eastAsia="ko-KR"/>
              </w:rPr>
              <w:t>configurations(</w:t>
            </w:r>
            <w:proofErr w:type="gramEnd"/>
            <w:r w:rsidRPr="0034769A">
              <w:rPr>
                <w:sz w:val="20"/>
                <w:szCs w:val="20"/>
                <w:lang w:eastAsia="ko-KR"/>
              </w:rPr>
              <w:t>parameters and settings) are not precluded and can be reported by companies.</w:t>
            </w:r>
          </w:p>
          <w:p w:rsidR="00735896" w:rsidRPr="0034769A" w:rsidRDefault="00735896" w:rsidP="00735896">
            <w:pPr>
              <w:rPr>
                <w:sz w:val="20"/>
                <w:szCs w:val="20"/>
                <w:lang w:eastAsia="ko-KR"/>
              </w:rPr>
            </w:pPr>
          </w:p>
          <w:p w:rsidR="00735896" w:rsidRPr="0034769A" w:rsidRDefault="00735896" w:rsidP="00735896">
            <w:pPr>
              <w:rPr>
                <w:sz w:val="20"/>
                <w:szCs w:val="20"/>
                <w:highlight w:val="green"/>
                <w:lang w:eastAsia="ko-KR"/>
              </w:rPr>
            </w:pPr>
            <w:r w:rsidRPr="0034769A">
              <w:rPr>
                <w:sz w:val="20"/>
                <w:szCs w:val="20"/>
                <w:highlight w:val="green"/>
                <w:lang w:eastAsia="ko-KR"/>
              </w:rPr>
              <w:t>Agreement</w:t>
            </w:r>
          </w:p>
          <w:p w:rsidR="00735896" w:rsidRPr="0034769A" w:rsidRDefault="00735896" w:rsidP="00735896">
            <w:pPr>
              <w:numPr>
                <w:ilvl w:val="0"/>
                <w:numId w:val="25"/>
              </w:numPr>
              <w:ind w:left="360"/>
              <w:contextualSpacing/>
              <w:rPr>
                <w:sz w:val="20"/>
                <w:szCs w:val="20"/>
                <w:lang w:eastAsia="ko-KR"/>
              </w:rPr>
            </w:pPr>
            <w:r w:rsidRPr="0034769A">
              <w:rPr>
                <w:sz w:val="20"/>
                <w:szCs w:val="20"/>
                <w:lang w:eastAsia="ko-KR"/>
              </w:rPr>
              <w:t>For the evaluation of the overhead for BM-Case2, adoption the following metrics:</w:t>
            </w:r>
          </w:p>
          <w:p w:rsidR="00735896" w:rsidRPr="0034769A" w:rsidRDefault="00735896" w:rsidP="00735896">
            <w:pPr>
              <w:numPr>
                <w:ilvl w:val="1"/>
                <w:numId w:val="25"/>
              </w:numPr>
              <w:ind w:left="1080"/>
              <w:contextualSpacing/>
              <w:rPr>
                <w:sz w:val="20"/>
                <w:szCs w:val="20"/>
                <w:lang w:eastAsia="ko-KR"/>
              </w:rPr>
            </w:pPr>
            <w:r w:rsidRPr="0034769A">
              <w:rPr>
                <w:sz w:val="20"/>
                <w:szCs w:val="20"/>
                <w:lang w:eastAsia="ko-KR"/>
              </w:rPr>
              <w:t xml:space="preserve">RS overhead reduction, </w:t>
            </w:r>
          </w:p>
          <w:p w:rsidR="00735896" w:rsidRPr="0034769A" w:rsidRDefault="00735896" w:rsidP="00735896">
            <w:pPr>
              <w:numPr>
                <w:ilvl w:val="2"/>
                <w:numId w:val="25"/>
              </w:numPr>
              <w:ind w:left="1800"/>
              <w:contextualSpacing/>
              <w:rPr>
                <w:sz w:val="20"/>
                <w:szCs w:val="20"/>
                <w:lang w:eastAsia="ko-KR"/>
              </w:rPr>
            </w:pPr>
            <w:r w:rsidRPr="0034769A">
              <w:rPr>
                <w:sz w:val="20"/>
                <w:szCs w:val="20"/>
                <w:lang w:eastAsia="ko-KR"/>
              </w:rPr>
              <w:t xml:space="preserve">Option 2: </w:t>
            </w:r>
            <w:r w:rsidRPr="0034769A">
              <w:rPr>
                <w:sz w:val="20"/>
                <w:szCs w:val="20"/>
                <w:lang w:eastAsia="ko-KR"/>
              </w:rPr>
              <w:fldChar w:fldCharType="begin"/>
            </w:r>
            <w:r w:rsidRPr="0034769A">
              <w:rPr>
                <w:sz w:val="20"/>
                <w:szCs w:val="20"/>
                <w:lang w:eastAsia="ko-KR"/>
              </w:rPr>
              <w:instrText xml:space="preserve"> QUOTE </w:instrText>
            </w:r>
            <w:r w:rsidR="006B1E1E">
              <w:rPr>
                <w:noProof/>
                <w:position w:val="-11"/>
                <w:sz w:val="20"/>
                <w:szCs w:val="20"/>
              </w:rPr>
              <w:pict>
                <v:shape id="_x0000_i1028" type="#_x0000_t75" alt="" style="width:131.4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09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9B9&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543&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4C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77&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0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C58&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09&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D9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DA4&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042&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1CB&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03E&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E0B77&quot; wsp:rsidP=&quot;002E0B77&quot;&gt;&lt;m:oMathPara&gt;&lt;m:oMath&gt;&lt;m:r&gt;&lt;m:rPr&gt;&lt;m:nor/&gt;&lt;/m:rPr&gt;&lt;w:rPr&gt;&lt;w:b/&gt;&lt;w:b-cs/&gt;&lt;w:kern w:val=&quot;24&quot;/&gt;&lt;w:lang w:fareast=&quot;FI&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i&quot;/&gt;&lt;/m:rPr&gt;&lt;w:rPr&gt;&lt;w:rFonts w:ascii=&quot;Cambria Math&quot; w:h-ansi=&quot;Cambria Math&quot;/&gt;&lt;wx:font wx:val=&quot;Cambria Math&quot;/&gt;&lt;w:b/&gt;&lt;w:i/&gt;&lt;w:kern w:val=&quot;24&quot;/&gt;&lt;w:lang w:fareast=&quot;FI&quot;/&gt;&lt;/w:rPr&gt;&lt;m:t&gt;=1-&lt;/m:t&gt;&lt;/m:r&gt;&lt;m:f&gt;&lt;m:fPr&gt;&lt;m:ctrlPr&gt;&lt;w:rPr&gt;&lt;w:rFonts w:ascii=&quot;Cambria Math&quot; w:h-ansi=&quot;Cambria Math&quot;/&gt;&lt;wx:font wx:val=&quot;Cambria Math&quot;/&gt;&lt;w:b/&gt;&lt;w:b-cs/&gt;&lt;w:i/&gt;&lt;w:kern w:val=&quot;24&quot;/&gt;&lt;w:lang w:fareast=&quot;FI&quot;/&gt;&lt;/w:rPr&gt;&lt;/m:ctrlPr&gt;&lt;/m:fPr&gt;&lt;m:num&gt;&lt;m:r&gt;&lt;m:rPr&gt;&lt;m:sty m:val=&quot;bi&quot;/&gt;&lt;/m:rPr&gt;&lt;w:rPr&gt;&lt;w:rFonts w:ascii=&quot;Cambria Math&quot; w:h-ansi=&quot;Cambria Math&quot;/&gt;&lt;wx:font wx:val=&quot;Cambria Math&quot;/&gt;&lt;w:b/&gt;&lt;w:i/&gt;&lt;w:kern w:val=&quot;24&quot;/&gt;&lt;w:lang w:fareast=&quot;FI&quot;/&gt;&lt;/w:rPr&gt;&lt;m:t&gt;N&lt;/m:t&gt;&lt;/m:r&gt;&lt;/m:num&gt;&lt;m:den&gt;&lt;m:r&gt;&lt;m:rPr&gt;&lt;m:sty m:val=&quot;bi&quot;/&gt;&lt;/m:rPr&gt;&lt;w:rPr&gt;&lt;w:rFonts w:ascii=&quot;Cambria Math&quot; w:h-ansi=&quot;Cambria Math&quot;/&gt;&lt;wx:font wx:val=&quot;Cambria Math&quot;/&gt;&lt;w:b/&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lang w:eastAsia="ko-KR"/>
              </w:rPr>
              <w:instrText xml:space="preserve"> </w:instrText>
            </w:r>
            <w:r w:rsidRPr="0034769A">
              <w:rPr>
                <w:sz w:val="20"/>
                <w:szCs w:val="20"/>
                <w:lang w:eastAsia="ko-KR"/>
              </w:rPr>
              <w:fldChar w:fldCharType="separate"/>
            </w:r>
            <w:r w:rsidR="006B1E1E">
              <w:rPr>
                <w:noProof/>
                <w:position w:val="-11"/>
                <w:sz w:val="20"/>
                <w:szCs w:val="20"/>
              </w:rPr>
              <w:pict>
                <v:shape id="_x0000_i1027" type="#_x0000_t75" alt="" style="width:131.4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09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9B9&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543&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4C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B77&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0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C58&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09&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D9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DA4&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042&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1CB&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03E&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E0B77&quot; wsp:rsidP=&quot;002E0B77&quot;&gt;&lt;m:oMathPara&gt;&lt;m:oMath&gt;&lt;m:r&gt;&lt;m:rPr&gt;&lt;m:nor/&gt;&lt;/m:rPr&gt;&lt;w:rPr&gt;&lt;w:b/&gt;&lt;w:b-cs/&gt;&lt;w:kern w:val=&quot;24&quot;/&gt;&lt;w:lang w:fareast=&quot;FI&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i&quot;/&gt;&lt;/m:rPr&gt;&lt;w:rPr&gt;&lt;w:rFonts w:ascii=&quot;Cambria Math&quot; w:h-ansi=&quot;Cambria Math&quot;/&gt;&lt;wx:font wx:val=&quot;Cambria Math&quot;/&gt;&lt;w:b/&gt;&lt;w:i/&gt;&lt;w:kern w:val=&quot;24&quot;/&gt;&lt;w:lang w:fareast=&quot;FI&quot;/&gt;&lt;/w:rPr&gt;&lt;m:t&gt;=1-&lt;/m:t&gt;&lt;/m:r&gt;&lt;m:f&gt;&lt;m:fPr&gt;&lt;m:ctrlPr&gt;&lt;w:rPr&gt;&lt;w:rFonts w:ascii=&quot;Cambria Math&quot; w:h-ansi=&quot;Cambria Math&quot;/&gt;&lt;wx:font wx:val=&quot;Cambria Math&quot;/&gt;&lt;w:b/&gt;&lt;w:b-cs/&gt;&lt;w:i/&gt;&lt;w:kern w:val=&quot;24&quot;/&gt;&lt;w:lang w:fareast=&quot;FI&quot;/&gt;&lt;/w:rPr&gt;&lt;/m:ctrlPr&gt;&lt;/m:fPr&gt;&lt;m:num&gt;&lt;m:r&gt;&lt;m:rPr&gt;&lt;m:sty m:val=&quot;bi&quot;/&gt;&lt;/m:rPr&gt;&lt;w:rPr&gt;&lt;w:rFonts w:ascii=&quot;Cambria Math&quot; w:h-ansi=&quot;Cambria Math&quot;/&gt;&lt;wx:font wx:val=&quot;Cambria Math&quot;/&gt;&lt;w:b/&gt;&lt;w:i/&gt;&lt;w:kern w:val=&quot;24&quot;/&gt;&lt;w:lang w:fareast=&quot;FI&quot;/&gt;&lt;/w:rPr&gt;&lt;m:t&gt;N&lt;/m:t&gt;&lt;/m:r&gt;&lt;/m:num&gt;&lt;m:den&gt;&lt;m:r&gt;&lt;m:rPr&gt;&lt;m:sty m:val=&quot;bi&quot;/&gt;&lt;/m:rPr&gt;&lt;w:rPr&gt;&lt;w:rFonts w:ascii=&quot;Cambria Math&quot; w:h-ansi=&quot;Cambria Math&quot;/&gt;&lt;wx:font wx:val=&quot;Cambria Math&quot;/&gt;&lt;w:b/&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lang w:eastAsia="ko-KR"/>
              </w:rPr>
              <w:fldChar w:fldCharType="end"/>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N is the total number of beams (pairs) (with reference signal (SSB and/or CSI-RS)) required for measurement for AI/ML, including the beams (pairs) required for additional measurements before/after the prediction if applicable</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M is the total number of beams (pairs) (with reference signal (SSB and/or CSI-RS)) required for measurement for baseline scheme</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Companies report the assumption on additional measurements</w:t>
            </w:r>
          </w:p>
          <w:p w:rsidR="00735896" w:rsidRPr="0034769A" w:rsidRDefault="00735896" w:rsidP="00735896">
            <w:pPr>
              <w:numPr>
                <w:ilvl w:val="2"/>
                <w:numId w:val="25"/>
              </w:numPr>
              <w:ind w:left="1800"/>
              <w:contextualSpacing/>
              <w:rPr>
                <w:rFonts w:eastAsia="Malgun Gothic"/>
                <w:sz w:val="20"/>
                <w:szCs w:val="20"/>
                <w:lang w:eastAsia="ko-KR"/>
              </w:rPr>
            </w:pPr>
            <w:r w:rsidRPr="0034769A">
              <w:rPr>
                <w:rFonts w:eastAsia="Malgun Gothic"/>
                <w:sz w:val="20"/>
                <w:szCs w:val="20"/>
                <w:lang w:eastAsia="ko-KR"/>
              </w:rPr>
              <w:t xml:space="preserve">FFS: Option 3: </w:t>
            </w:r>
            <w:r w:rsidRPr="0034769A">
              <w:rPr>
                <w:sz w:val="20"/>
                <w:szCs w:val="20"/>
                <w:lang w:eastAsia="ko-KR"/>
              </w:rPr>
              <w:fldChar w:fldCharType="begin"/>
            </w:r>
            <w:r w:rsidRPr="0034769A">
              <w:rPr>
                <w:sz w:val="20"/>
                <w:szCs w:val="20"/>
                <w:lang w:eastAsia="ko-KR"/>
              </w:rPr>
              <w:instrText xml:space="preserve"> QUOTE </w:instrText>
            </w:r>
            <w:r w:rsidR="006B1E1E">
              <w:rPr>
                <w:noProof/>
                <w:position w:val="-11"/>
                <w:sz w:val="20"/>
                <w:szCs w:val="20"/>
              </w:rPr>
              <w:pict>
                <v:shape id="_x0000_i1026" type="#_x0000_t75" alt="" style="width:135.6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09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9B9&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543&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4C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0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C58&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09&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D9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DA4&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042&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1CB&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4E&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03E&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2384E&quot; wsp:rsidP=&quot;00D2384E&quot;&gt;&lt;m:oMathPara&gt;&lt;m:oMath&gt;&lt;m:r&gt;&lt;m:rPr&gt;&lt;m:nor/&gt;&lt;/m:rPr&gt;&lt;w:rPr&gt;&lt;w:b/&gt;&lt;w:b-cs/&gt;&lt;w:lang w:fareast=&quot;KO&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quot;/&gt;&lt;/m:rPr&gt;&lt;w:rPr&gt;&lt;w:rFonts w:ascii=&quot;Cambria Math&quot; w:h-ansi=&quot;Cambria Math&quot;/&gt;&lt;wx:font wx:val=&quot;Cambria Math&quot;/&gt;&lt;w:b/&gt;&lt;w:lang w:fareast=&quot;KO&quot;/&gt;&lt;/w:rPr&gt;&lt;m:t&gt;=1-&lt;/m:t&gt;&lt;/m:r&gt;&lt;m:f&gt;&lt;m:fPr&gt;&lt;m:ctrlPr&gt;&lt;w:rPr&gt;&lt;w:rFonts w:ascii=&quot;Cambria Math&quot; w:h-ansi=&quot;Cambria Math&quot;/&gt;&lt;wx:font wx:val=&quot;Cambria Math&quot;/&gt;&lt;w:b/&gt;&lt;w:b-cs/&gt;&lt;w:lang w:fareast=&quot;KO&quot;/&gt;&lt;/w:rPr&gt;&lt;/m:ctrlPr&gt;&lt;/m:fPr&gt;&lt;m:num&gt;&lt;m:r&gt;&lt;m:rPr&gt;&lt;m:sty m:val=&quot;bi&quot;/&gt;&lt;/m:rPr&gt;&lt;w:rPr&gt;&lt;w:rFonts w:ascii=&quot;Cambria Math&quot; w:h-ansi=&quot;Cambria Math&quot;/&gt;&lt;wx:font wx:val=&quot;Cambria Math&quot;/&gt;&lt;w:b/&gt;&lt;w:i/&gt;&lt;w:lang w:fareast=&quot;KO&quot;/&gt;&lt;/w:rPr&gt;&lt;m:t&gt;N&lt;/m:t&gt;&lt;/m:r&gt;&lt;/m:num&gt;&lt;m:den&gt;&lt;m:r&gt;&lt;m:rPr&gt;&lt;m:sty m:val=&quot;bi&quot;/&gt;&lt;/m:rPr&gt;&lt;w:rPr&gt;&lt;w:rFonts w:ascii=&quot;Cambria Math&quot; w:h-ansi=&quot;Cambria Math&quot;/&gt;&lt;wx:font wx:val=&quot;Cambria Math&quot;/&gt;&lt;w:b/&gt;&lt;w:i/&gt;&lt;w:lang w:fareast=&quot;KO&quot;/&gt;&lt;/w:rPr&gt;&lt;m:t&gt;L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4769A">
              <w:rPr>
                <w:sz w:val="20"/>
                <w:szCs w:val="20"/>
                <w:lang w:eastAsia="ko-KR"/>
              </w:rPr>
              <w:instrText xml:space="preserve"> </w:instrText>
            </w:r>
            <w:r w:rsidRPr="0034769A">
              <w:rPr>
                <w:sz w:val="20"/>
                <w:szCs w:val="20"/>
                <w:lang w:eastAsia="ko-KR"/>
              </w:rPr>
              <w:fldChar w:fldCharType="separate"/>
            </w:r>
            <w:r w:rsidR="006B1E1E">
              <w:rPr>
                <w:noProof/>
                <w:position w:val="-11"/>
                <w:sz w:val="20"/>
                <w:szCs w:val="20"/>
              </w:rPr>
              <w:pict>
                <v:shape id="_x0000_i1025" type="#_x0000_t75" alt="" style="width:135.6pt;height:17.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09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9B9&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543&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4C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0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C58&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09&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D9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DA4&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042&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1CB&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4E&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03E&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2384E&quot; wsp:rsidP=&quot;00D2384E&quot;&gt;&lt;m:oMathPara&gt;&lt;m:oMath&gt;&lt;m:r&gt;&lt;m:rPr&gt;&lt;m:nor/&gt;&lt;/m:rPr&gt;&lt;w:rPr&gt;&lt;w:b/&gt;&lt;w:b-cs/&gt;&lt;w:lang w:fareast=&quot;KO&quot;/&gt;&lt;/w:rPr&gt;&lt;m:t&gt;RS &lt;/m:t&gt;&lt;/m:r&gt;&lt;m:r&gt;&lt;m:rPr&gt;&lt;m:sty m:val=&quot;b&quot;/&gt;&lt;/m:rPr&gt;&lt;w:rPr&gt;&lt;w:rFonts w:ascii=&quot;Cambria Math&quot; w:h-ansi=&quot;Cambria Math&quot;/&gt;&lt;wx:font wx:val=&quot;Cambria Math&quot;/&gt;&lt;w:b/&gt;&lt;w:lang w:fareast=&quot;KO&quot;/&gt;&lt;/w:rPr&gt;&lt;m:t&gt;OH reduction&lt;/m:t&gt;&lt;/m:r&gt;&lt;m:d&gt;&lt;m:dPr&gt;&lt;m:begChr m:val=&quot;[&quot;/&gt;&lt;m:endChr m:val=&quot;]&quot;/&gt;&lt;m:ctrlPr&gt;&lt;w:rPr&gt;&lt;w:rFonts w:ascii=&quot;Cambria Math&quot; w:h-ansi=&quot;Cambria Math&quot;/&gt;&lt;wx:font wx:val=&quot;Cambria Math&quot;/&gt;&lt;w:b/&gt;&lt;w:b-cs/&gt;&lt;w:lang w:fareast=&quot;KO&quot;/&gt;&lt;/w:rPr&gt;&lt;/m:ctrlPr&gt;&lt;/m:dPr&gt;&lt;m:e&gt;&lt;m:r&gt;&lt;m:rPr&gt;&lt;m:sty m:val=&quot;b&quot;/&gt;&lt;/m:rPr&gt;&lt;w:rPr&gt;&lt;w:rFonts w:ascii=&quot;Cambria Math&quot; w:h-ansi=&quot;Cambria Math&quot;/&gt;&lt;wx:font wx:val=&quot;Cambria Math&quot;/&gt;&lt;w:b/&gt;&lt;w:lang w:fareast=&quot;KO&quot;/&gt;&lt;/w:rPr&gt;&lt;m:t&gt;%&lt;/m:t&gt;&lt;/m:r&gt;&lt;/m:e&gt;&lt;/m:d&gt;&lt;m:r&gt;&lt;m:rPr&gt;&lt;m:sty m:val=&quot;b&quot;/&gt;&lt;/m:rPr&gt;&lt;w:rPr&gt;&lt;w:rFonts w:ascii=&quot;Cambria Math&quot; w:h-ansi=&quot;Cambria Math&quot;/&gt;&lt;wx:font wx:val=&quot;Cambria Math&quot;/&gt;&lt;w:b/&gt;&lt;w:lang w:fareast=&quot;KO&quot;/&gt;&lt;/w:rPr&gt;&lt;m:t&gt;=1-&lt;/m:t&gt;&lt;/m:r&gt;&lt;m:f&gt;&lt;m:fPr&gt;&lt;m:ctrlPr&gt;&lt;w:rPr&gt;&lt;w:rFonts w:ascii=&quot;Cambria Math&quot; w:h-ansi=&quot;Cambria Math&quot;/&gt;&lt;wx:font wx:val=&quot;Cambria Math&quot;/&gt;&lt;w:b/&gt;&lt;w:b-cs/&gt;&lt;w:lang w:fareast=&quot;KO&quot;/&gt;&lt;/w:rPr&gt;&lt;/m:ctrlPr&gt;&lt;/m:fPr&gt;&lt;m:num&gt;&lt;m:r&gt;&lt;m:rPr&gt;&lt;m:sty m:val=&quot;bi&quot;/&gt;&lt;/m:rPr&gt;&lt;w:rPr&gt;&lt;w:rFonts w:ascii=&quot;Cambria Math&quot; w:h-ansi=&quot;Cambria Math&quot;/&gt;&lt;wx:font wx:val=&quot;Cambria Math&quot;/&gt;&lt;w:b/&gt;&lt;w:i/&gt;&lt;w:lang w:fareast=&quot;KO&quot;/&gt;&lt;/w:rPr&gt;&lt;m:t&gt;N&lt;/m:t&gt;&lt;/m:r&gt;&lt;/m:num&gt;&lt;m:den&gt;&lt;m:r&gt;&lt;m:rPr&gt;&lt;m:sty m:val=&quot;bi&quot;/&gt;&lt;/m:rPr&gt;&lt;w:rPr&gt;&lt;w:rFonts w:ascii=&quot;Cambria Math&quot; w:h-ansi=&quot;Cambria Math&quot;/&gt;&lt;wx:font wx:val=&quot;Cambria Math&quot;/&gt;&lt;w:b/&gt;&lt;w:i/&gt;&lt;w:lang w:fareast=&quot;KO&quot;/&gt;&lt;/w:rPr&gt;&lt;m:t&gt;L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4769A">
              <w:rPr>
                <w:sz w:val="20"/>
                <w:szCs w:val="20"/>
                <w:lang w:eastAsia="ko-KR"/>
              </w:rPr>
              <w:fldChar w:fldCharType="end"/>
            </w:r>
            <w:r w:rsidRPr="0034769A">
              <w:rPr>
                <w:sz w:val="20"/>
                <w:szCs w:val="20"/>
                <w:lang w:eastAsia="ko-KR"/>
              </w:rPr>
              <w:t xml:space="preserve"> </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N is the number of beams (pairs) (with reference signal (SSB and/or CSI-RS)) required for measurement for AI/ML in each time instance</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M is the total number of beams (pairs) to be predicted for each time instance</w:t>
            </w:r>
          </w:p>
          <w:p w:rsidR="00735896" w:rsidRPr="0034769A" w:rsidRDefault="00735896" w:rsidP="00735896">
            <w:pPr>
              <w:numPr>
                <w:ilvl w:val="3"/>
                <w:numId w:val="25"/>
              </w:numPr>
              <w:ind w:left="2520"/>
              <w:contextualSpacing/>
              <w:rPr>
                <w:sz w:val="20"/>
                <w:szCs w:val="20"/>
                <w:lang w:eastAsia="ko-KR"/>
              </w:rPr>
            </w:pPr>
            <w:r w:rsidRPr="0034769A">
              <w:rPr>
                <w:sz w:val="20"/>
                <w:szCs w:val="20"/>
                <w:lang w:eastAsia="ko-KR"/>
              </w:rPr>
              <w:t>where L is ratio of periodicity of time instance for measurements to periodicity of time instance for prediction</w:t>
            </w:r>
          </w:p>
          <w:p w:rsidR="00735896" w:rsidRPr="0034769A" w:rsidRDefault="00735896" w:rsidP="00735896">
            <w:pPr>
              <w:numPr>
                <w:ilvl w:val="2"/>
                <w:numId w:val="25"/>
              </w:numPr>
              <w:ind w:left="1800"/>
              <w:contextualSpacing/>
              <w:rPr>
                <w:sz w:val="20"/>
                <w:szCs w:val="20"/>
                <w:lang w:eastAsia="ko-KR"/>
              </w:rPr>
            </w:pPr>
            <w:r w:rsidRPr="0034769A">
              <w:rPr>
                <w:sz w:val="20"/>
                <w:szCs w:val="20"/>
                <w:lang w:eastAsia="ko-KR"/>
              </w:rPr>
              <w:t>Companies report the assumption on T1 and T2 patterns</w:t>
            </w:r>
          </w:p>
          <w:p w:rsidR="00735896" w:rsidRPr="0034769A" w:rsidRDefault="00735896" w:rsidP="00735896">
            <w:pPr>
              <w:numPr>
                <w:ilvl w:val="2"/>
                <w:numId w:val="25"/>
              </w:numPr>
              <w:ind w:left="1800"/>
              <w:contextualSpacing/>
              <w:rPr>
                <w:rFonts w:eastAsia="Malgun Gothic"/>
                <w:sz w:val="20"/>
                <w:szCs w:val="20"/>
                <w:lang w:eastAsia="ko-KR"/>
              </w:rPr>
            </w:pPr>
            <w:r w:rsidRPr="0034769A">
              <w:rPr>
                <w:rFonts w:eastAsia="Malgun Gothic"/>
                <w:sz w:val="20"/>
                <w:szCs w:val="20"/>
                <w:lang w:eastAsia="ko-KR"/>
              </w:rPr>
              <w:t>Other options are not precluded and can be reported by companies.</w:t>
            </w:r>
          </w:p>
          <w:p w:rsidR="00557396" w:rsidRPr="00735896" w:rsidRDefault="00557396" w:rsidP="00735896">
            <w:pPr>
              <w:widowControl w:val="0"/>
              <w:contextualSpacing/>
              <w:jc w:val="both"/>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6E6B" w:rsidP="00557396">
      <w:pPr>
        <w:pStyle w:val="Heading1"/>
      </w:pPr>
      <w:r>
        <w:t>Discussion</w:t>
      </w:r>
    </w:p>
    <w:p w:rsidR="00346E6B" w:rsidRDefault="00346E6B" w:rsidP="00346E6B">
      <w:pPr>
        <w:pStyle w:val="Heading2"/>
      </w:pPr>
      <w:r>
        <w:t xml:space="preserve">Evaluation </w:t>
      </w:r>
      <w:r w:rsidR="00644A2B">
        <w:t>assumption</w:t>
      </w:r>
    </w:p>
    <w:p w:rsidR="00D26F8C" w:rsidRDefault="00D26F8C" w:rsidP="00557396">
      <w:pPr>
        <w:pStyle w:val="0Maintext"/>
        <w:spacing w:after="120" w:afterAutospacing="0" w:line="240" w:lineRule="auto"/>
        <w:ind w:firstLine="0"/>
        <w:rPr>
          <w:lang w:val="en-US" w:eastAsia="zh-CN"/>
        </w:rPr>
      </w:pPr>
      <w:r>
        <w:rPr>
          <w:lang w:val="en-US" w:eastAsia="zh-CN"/>
        </w:rPr>
        <w:t>For evaluation assumption, it was agreed that the height for the gNB is 25m. However, in current simulation assumption, the height for a UE should be from 1.5m to 22.5m. Then the NW beam span could be too limited</w:t>
      </w:r>
      <w:r w:rsidR="00456170">
        <w:rPr>
          <w:lang w:val="en-US" w:eastAsia="zh-CN"/>
        </w:rPr>
        <w:t xml:space="preserve">, as there could be fewer channel clusters with zenith angles smaller than 90 degrees. In previous simulation assumption, usually the gNB height is 10m. </w:t>
      </w:r>
      <w:r w:rsidR="00966223">
        <w:rPr>
          <w:lang w:val="en-US" w:eastAsia="zh-CN"/>
        </w:rPr>
        <w:t>Therefore,</w:t>
      </w:r>
      <w:r w:rsidR="00456170">
        <w:rPr>
          <w:lang w:val="en-US" w:eastAsia="zh-CN"/>
        </w:rPr>
        <w:t xml:space="preserve"> it is recommended to add 10m as a second option for further evaluation.</w:t>
      </w:r>
    </w:p>
    <w:p w:rsidR="00456170" w:rsidRPr="00266C0B" w:rsidRDefault="00456170" w:rsidP="00557396">
      <w:pPr>
        <w:pStyle w:val="0Maintext"/>
        <w:spacing w:after="120" w:afterAutospacing="0" w:line="240" w:lineRule="auto"/>
        <w:ind w:firstLine="0"/>
        <w:rPr>
          <w:b/>
          <w:i/>
          <w:lang w:val="en-US" w:eastAsia="zh-CN"/>
        </w:rPr>
      </w:pPr>
      <w:r>
        <w:rPr>
          <w:b/>
          <w:i/>
          <w:lang w:val="en-US" w:eastAsia="zh-CN"/>
        </w:rPr>
        <w:t xml:space="preserve">Proposal </w:t>
      </w:r>
      <w:r w:rsidR="00C4358B">
        <w:rPr>
          <w:b/>
          <w:i/>
          <w:lang w:val="en-US" w:eastAsia="zh-CN"/>
        </w:rPr>
        <w:t>1</w:t>
      </w:r>
      <w:r>
        <w:rPr>
          <w:b/>
          <w:i/>
          <w:lang w:val="en-US" w:eastAsia="zh-CN"/>
        </w:rPr>
        <w:t xml:space="preserve">: Add BS height = 10m as a second option as evaluation assumption to be aligned with evaluation assumption in other agenda items and to create more beams for indoor UEs in </w:t>
      </w:r>
      <w:r w:rsidR="00EC2873">
        <w:rPr>
          <w:b/>
          <w:i/>
          <w:lang w:val="en-US" w:eastAsia="zh-CN"/>
        </w:rPr>
        <w:t>vertical</w:t>
      </w:r>
      <w:r>
        <w:rPr>
          <w:b/>
          <w:i/>
          <w:lang w:val="en-US" w:eastAsia="zh-CN"/>
        </w:rPr>
        <w:t xml:space="preserve"> domain.</w:t>
      </w:r>
    </w:p>
    <w:p w:rsidR="001B33B8" w:rsidRDefault="00082BEF" w:rsidP="00082BEF">
      <w:pPr>
        <w:pStyle w:val="Heading2"/>
      </w:pPr>
      <w:r>
        <w:t>Evaluation results</w:t>
      </w:r>
    </w:p>
    <w:p w:rsidR="00C4358B" w:rsidRDefault="009A5F55" w:rsidP="009A5F55">
      <w:pPr>
        <w:pStyle w:val="Heading3"/>
        <w:numPr>
          <w:ilvl w:val="0"/>
          <w:numId w:val="0"/>
        </w:numPr>
        <w:ind w:left="836" w:hanging="720"/>
      </w:pPr>
      <w:r>
        <w:t xml:space="preserve">2.2.1 </w:t>
      </w:r>
      <w:r w:rsidR="00C4358B">
        <w:t>Results based on different input content</w:t>
      </w:r>
    </w:p>
    <w:p w:rsidR="00C4358B" w:rsidRDefault="00C4358B" w:rsidP="00C4358B">
      <w:pPr>
        <w:pStyle w:val="0Maintext"/>
        <w:spacing w:after="120" w:afterAutospacing="0" w:line="240" w:lineRule="auto"/>
        <w:ind w:firstLine="0"/>
        <w:rPr>
          <w:bCs/>
          <w:iCs/>
          <w:lang w:val="en-US" w:eastAsia="zh-CN"/>
        </w:rPr>
      </w:pPr>
      <w:r>
        <w:rPr>
          <w:bCs/>
          <w:iCs/>
          <w:lang w:val="en-US" w:eastAsia="zh-CN"/>
        </w:rPr>
        <w:t>In RAN1 #109, the following alternatives on spatial domain beam prediction were agreed.</w:t>
      </w:r>
    </w:p>
    <w:tbl>
      <w:tblPr>
        <w:tblStyle w:val="TableGrid"/>
        <w:tblW w:w="0" w:type="auto"/>
        <w:tblLook w:val="04A0" w:firstRow="1" w:lastRow="0" w:firstColumn="1" w:lastColumn="0" w:noHBand="0" w:noVBand="1"/>
      </w:tblPr>
      <w:tblGrid>
        <w:gridCol w:w="9010"/>
      </w:tblGrid>
      <w:tr w:rsidR="00C4358B" w:rsidTr="00F1538F">
        <w:tc>
          <w:tcPr>
            <w:tcW w:w="9010" w:type="dxa"/>
          </w:tcPr>
          <w:p w:rsidR="00C4358B" w:rsidRPr="00E4268A" w:rsidRDefault="00C4358B" w:rsidP="00F1538F">
            <w:pPr>
              <w:shd w:val="clear" w:color="auto" w:fill="FFFFFF"/>
              <w:spacing w:after="120"/>
              <w:jc w:val="both"/>
              <w:rPr>
                <w:sz w:val="20"/>
                <w:szCs w:val="20"/>
                <w:lang w:eastAsia="x-none"/>
              </w:rPr>
            </w:pPr>
            <w:r w:rsidRPr="00E4268A">
              <w:rPr>
                <w:sz w:val="20"/>
                <w:szCs w:val="20"/>
                <w:lang w:eastAsia="x-none"/>
              </w:rPr>
              <w:t xml:space="preserve">Conclusion </w:t>
            </w:r>
          </w:p>
          <w:p w:rsidR="00C4358B" w:rsidRPr="00E4268A" w:rsidRDefault="00C4358B" w:rsidP="00F1538F">
            <w:pPr>
              <w:spacing w:after="120"/>
              <w:rPr>
                <w:sz w:val="20"/>
                <w:szCs w:val="20"/>
                <w:lang w:eastAsia="x-none"/>
              </w:rPr>
            </w:pPr>
            <w:r w:rsidRPr="00E4268A">
              <w:rPr>
                <w:sz w:val="20"/>
                <w:szCs w:val="20"/>
                <w:lang w:eastAsia="x-none"/>
              </w:rPr>
              <w:t>Regarding the sub use case BM-Case1, further study the following alternatives for AI/ML input:</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Alt.1: Only L1-RSRP measurement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Alt.2: L1-RSRP measurement based on Set B and assistance information</w:t>
            </w:r>
          </w:p>
          <w:p w:rsidR="00C4358B" w:rsidRPr="00E4268A" w:rsidRDefault="00C4358B" w:rsidP="00C4358B">
            <w:pPr>
              <w:numPr>
                <w:ilvl w:val="1"/>
                <w:numId w:val="16"/>
              </w:numPr>
              <w:shd w:val="clear" w:color="auto" w:fill="FFFFFF"/>
              <w:spacing w:before="100" w:beforeAutospacing="1" w:after="100" w:afterAutospacing="1"/>
              <w:rPr>
                <w:rFonts w:eastAsia="SimSun"/>
                <w:color w:val="000000"/>
                <w:sz w:val="20"/>
                <w:szCs w:val="20"/>
              </w:rPr>
            </w:pPr>
            <w:r w:rsidRPr="00E4268A">
              <w:rPr>
                <w:sz w:val="20"/>
                <w:szCs w:val="20"/>
                <w:lang w:eastAsia="x-none"/>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w:t>
            </w:r>
            <w:r w:rsidRPr="00E4268A">
              <w:rPr>
                <w:sz w:val="20"/>
                <w:szCs w:val="20"/>
                <w:lang w:eastAsia="x-none"/>
              </w:rPr>
              <w:lastRenderedPageBreak/>
              <w:t>position information, UE direction information, Tx beam usage information, UE orientation information, etc.</w:t>
            </w:r>
          </w:p>
          <w:p w:rsidR="00C4358B" w:rsidRPr="00E4268A" w:rsidRDefault="00C4358B" w:rsidP="00C4358B">
            <w:pPr>
              <w:numPr>
                <w:ilvl w:val="2"/>
                <w:numId w:val="16"/>
              </w:numPr>
              <w:shd w:val="clear" w:color="auto" w:fill="FFFFFF"/>
              <w:spacing w:before="100" w:beforeAutospacing="1" w:after="100" w:afterAutospacing="1"/>
              <w:rPr>
                <w:rFonts w:eastAsia="SimSun"/>
                <w:color w:val="000000"/>
                <w:sz w:val="20"/>
                <w:szCs w:val="20"/>
              </w:rPr>
            </w:pPr>
            <w:r w:rsidRPr="00E4268A">
              <w:rPr>
                <w:rFonts w:eastAsia="SimSun"/>
                <w:color w:val="000000"/>
                <w:sz w:val="20"/>
                <w:szCs w:val="20"/>
              </w:rPr>
              <w:t> </w:t>
            </w:r>
            <w:r w:rsidRPr="00E4268A">
              <w:rPr>
                <w:sz w:val="20"/>
                <w:szCs w:val="20"/>
                <w:lang w:eastAsia="x-none"/>
              </w:rPr>
              <w:t>Note: The provision of assistance information may be infeasible due to the concern of disclosing proprietary information to the other side.</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Alt.3: CIR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Alt.4: L1-RSRP measurement based on Set B and the corresponding DL Tx and/or Rx beam ID</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Note1: It is up to companies to provide other alternative(s) including the combination of some alternatives</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Note2: All the inputs are “nominal” and only for discussion purpose.</w:t>
            </w:r>
          </w:p>
          <w:p w:rsidR="00C4358B" w:rsidRDefault="00C4358B" w:rsidP="00F1538F">
            <w:pPr>
              <w:pStyle w:val="0Maintext"/>
              <w:spacing w:after="120" w:afterAutospacing="0" w:line="240" w:lineRule="auto"/>
              <w:ind w:firstLine="0"/>
              <w:rPr>
                <w:bCs/>
                <w:iCs/>
                <w:lang w:val="en-US" w:eastAsia="zh-CN"/>
              </w:rPr>
            </w:pPr>
          </w:p>
        </w:tc>
      </w:tr>
    </w:tbl>
    <w:p w:rsidR="00C4358B" w:rsidRDefault="00C4358B" w:rsidP="00C4358B">
      <w:pPr>
        <w:pStyle w:val="0Maintext"/>
        <w:spacing w:after="120" w:afterAutospacing="0" w:line="240" w:lineRule="auto"/>
        <w:ind w:firstLine="0"/>
        <w:rPr>
          <w:bCs/>
          <w:iCs/>
          <w:lang w:val="en-US" w:eastAsia="zh-CN"/>
        </w:rPr>
      </w:pPr>
    </w:p>
    <w:p w:rsidR="00C4358B" w:rsidRDefault="00C4358B" w:rsidP="00C4358B">
      <w:pPr>
        <w:pStyle w:val="0Maintext"/>
        <w:spacing w:after="120" w:afterAutospacing="0" w:line="240" w:lineRule="auto"/>
        <w:ind w:firstLine="0"/>
        <w:rPr>
          <w:bCs/>
          <w:iCs/>
          <w:lang w:val="en-US" w:eastAsia="zh-CN"/>
        </w:rPr>
      </w:pPr>
      <w:r>
        <w:rPr>
          <w:bCs/>
          <w:iCs/>
          <w:lang w:val="en-US" w:eastAsia="zh-CN"/>
        </w:rPr>
        <w:t>In this contribution, we evaluation the following 3 options to investigate the performance from the alterantives above.</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1: L1-RSRP measured from set B beams</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2: L1-RSRP measured from set B beams + UE orientation</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3: CIR measured from set B beams</w:t>
      </w:r>
    </w:p>
    <w:p w:rsidR="00C4358B" w:rsidRDefault="00C4358B" w:rsidP="00C4358B">
      <w:pPr>
        <w:pStyle w:val="0Maintext"/>
        <w:spacing w:after="120" w:afterAutospacing="0" w:line="240" w:lineRule="auto"/>
        <w:ind w:firstLine="0"/>
        <w:rPr>
          <w:bCs/>
          <w:iCs/>
          <w:lang w:val="en-US" w:eastAsia="zh-CN"/>
        </w:rPr>
      </w:pPr>
      <w:r>
        <w:rPr>
          <w:bCs/>
          <w:iCs/>
          <w:lang w:val="en-US" w:eastAsia="zh-CN"/>
        </w:rPr>
        <w:t>For Set B beams, we studied 2, 4, and 8 beams in set B as shown in Figure 1, Figure 2 and Figure 3.</w:t>
      </w:r>
    </w:p>
    <w:p w:rsidR="00C4358B" w:rsidRDefault="00C4358B" w:rsidP="00C4358B">
      <w:pPr>
        <w:pStyle w:val="0Maintext"/>
        <w:spacing w:after="120" w:afterAutospacing="0" w:line="240" w:lineRule="auto"/>
        <w:ind w:firstLine="0"/>
        <w:jc w:val="center"/>
        <w:rPr>
          <w:bCs/>
          <w:iCs/>
          <w:lang w:val="en-US" w:eastAsia="zh-CN"/>
        </w:rPr>
      </w:pPr>
      <w:r w:rsidRPr="00AD5551">
        <w:rPr>
          <w:bCs/>
          <w:iCs/>
          <w:noProof/>
          <w:lang w:val="en-US" w:eastAsia="zh-CN"/>
        </w:rPr>
        <w:drawing>
          <wp:inline distT="0" distB="0" distL="0" distR="0" wp14:anchorId="3E250D16" wp14:editId="2E73D564">
            <wp:extent cx="3600000" cy="171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Figure 1: Selection of 2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2CCE3359" wp14:editId="7D94A4E3">
            <wp:extent cx="3600000" cy="1715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2</w:t>
      </w:r>
      <w:r w:rsidRPr="009F20C6">
        <w:rPr>
          <w:b/>
          <w:iCs/>
          <w:lang w:val="en-US" w:eastAsia="zh-CN"/>
        </w:rPr>
        <w:t>: Selection of 4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lastRenderedPageBreak/>
        <w:drawing>
          <wp:inline distT="0" distB="0" distL="0" distR="0" wp14:anchorId="4A868436" wp14:editId="258AED40">
            <wp:extent cx="3600000" cy="17157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3</w:t>
      </w:r>
      <w:r w:rsidRPr="009F20C6">
        <w:rPr>
          <w:b/>
          <w:iCs/>
          <w:lang w:val="en-US" w:eastAsia="zh-CN"/>
        </w:rPr>
        <w:t>: Selection of 8 beams in Set B as input for ML based spatial domain beam prediction</w:t>
      </w:r>
    </w:p>
    <w:p w:rsidR="00C4358B" w:rsidRDefault="00C4358B" w:rsidP="00C4358B">
      <w:pPr>
        <w:pStyle w:val="0Maintext"/>
        <w:spacing w:after="120" w:afterAutospacing="0" w:line="240" w:lineRule="auto"/>
        <w:ind w:firstLine="0"/>
        <w:rPr>
          <w:bCs/>
          <w:iCs/>
          <w:lang w:val="en-US" w:eastAsia="zh-CN"/>
        </w:rPr>
      </w:pPr>
      <w:r>
        <w:rPr>
          <w:bCs/>
          <w:iCs/>
          <w:lang w:val="en-US" w:eastAsia="zh-CN"/>
        </w:rPr>
        <w:t xml:space="preserve">Table 1-6 illustrate the beam prediction accuracy for top-x beams, where the top-x beam is counted as correct if L1-RSRP from one of the predicted top-x </w:t>
      </w:r>
      <w:proofErr w:type="gramStart"/>
      <w:r>
        <w:rPr>
          <w:bCs/>
          <w:iCs/>
          <w:lang w:val="en-US" w:eastAsia="zh-CN"/>
        </w:rPr>
        <w:t>beam</w:t>
      </w:r>
      <w:proofErr w:type="gramEnd"/>
      <w:r>
        <w:rPr>
          <w:bCs/>
          <w:iCs/>
          <w:lang w:val="en-US" w:eastAsia="zh-CN"/>
        </w:rPr>
        <w:t xml:space="preserve"> is equal to or the same as the L1-RSRP from the best beam minus a margin (0dB or 1dB). It can be observed that the CIR based beam prediction could outperform the L1-RSRP based beam prediction. Moreover, the UE orientation cannot help to increase the beam prediction accuracy for L1-RSRP based beam prediction. The neural network is a DNN with 1 hidden layer. </w:t>
      </w:r>
      <w:r>
        <w:rPr>
          <w:rFonts w:hint="eastAsia"/>
          <w:bCs/>
          <w:iCs/>
          <w:lang w:val="en-US" w:eastAsia="zh-CN"/>
        </w:rPr>
        <w:t>D</w:t>
      </w:r>
      <w:r>
        <w:rPr>
          <w:bCs/>
          <w:iCs/>
          <w:lang w:val="en-US" w:eastAsia="zh-CN"/>
        </w:rPr>
        <w:t>etailed simulation assumptions are illustrated in Table A-1 in appendix.</w:t>
      </w:r>
    </w:p>
    <w:p w:rsidR="00C4358B" w:rsidRPr="00581964" w:rsidRDefault="00C4358B" w:rsidP="00C4358B">
      <w:pPr>
        <w:jc w:val="center"/>
        <w:rPr>
          <w:b/>
          <w:bCs/>
          <w:sz w:val="20"/>
          <w:szCs w:val="20"/>
        </w:rPr>
      </w:pPr>
      <w:r w:rsidRPr="00581964">
        <w:rPr>
          <w:b/>
          <w:bCs/>
          <w:sz w:val="20"/>
          <w:szCs w:val="20"/>
        </w:rPr>
        <w:t>Table 1: Beam prediction accuracy from 2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31.35%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30.62%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33.00%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47.43%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46.85%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49.60%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50.63%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51.40%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66.41%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65.60%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68.44%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69.51%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69.70%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85.91%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86.43%</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2: Beam prediction accuracy from 2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20.61%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20.06%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22.04%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22.43%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23.02%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38.24%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53.27%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57.03%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57.39%</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75.03%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76.14%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78.25%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78.54%</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47.98%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48.18%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65.49%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65.93%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70.13%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82.30%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85.18%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93.77%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94.46%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lastRenderedPageBreak/>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33.66%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36.17%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51.77%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52.05%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54.24%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55.50%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56.48%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70.90%</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71.07%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74.42%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75.35%</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67.96%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75.18%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75.23%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81.59%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82.23%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86.39%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91.25%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92.20%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96.76%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96.96%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53.15%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54.35%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57.70%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71.24%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75.64%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77.55%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77.47%</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83.54%</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84.48%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89.30%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93.39%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95.78%</w:t>
            </w:r>
          </w:p>
        </w:tc>
      </w:tr>
    </w:tbl>
    <w:p w:rsidR="00C4358B" w:rsidRDefault="00C4358B" w:rsidP="00C4358B">
      <w:pPr>
        <w:pStyle w:val="0Maintext"/>
        <w:spacing w:after="120" w:afterAutospacing="0" w:line="240" w:lineRule="auto"/>
        <w:ind w:firstLine="0"/>
        <w:rPr>
          <w:bCs/>
          <w:iCs/>
          <w:lang w:val="en-US" w:eastAsia="zh-CN"/>
        </w:rPr>
      </w:pP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Observation 1: CIR based spatial domain beam prediction outperforms the L1-RSRP based beam prediction.</w:t>
      </w: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Observation 2: UE orientation could not help to increase the accuracy for L1-RSRP based beam prediction.</w:t>
      </w:r>
    </w:p>
    <w:p w:rsidR="00AD5551" w:rsidRDefault="00AD5551" w:rsidP="00557396">
      <w:pPr>
        <w:pStyle w:val="0Maintext"/>
        <w:spacing w:after="120" w:afterAutospacing="0" w:line="240" w:lineRule="auto"/>
        <w:ind w:firstLine="0"/>
        <w:rPr>
          <w:bCs/>
          <w:iCs/>
          <w:lang w:val="en-US" w:eastAsia="zh-CN"/>
        </w:rPr>
      </w:pPr>
    </w:p>
    <w:p w:rsidR="00C4358B" w:rsidRDefault="009A5F55" w:rsidP="009A5F55">
      <w:pPr>
        <w:pStyle w:val="Heading3"/>
        <w:numPr>
          <w:ilvl w:val="0"/>
          <w:numId w:val="0"/>
        </w:numPr>
        <w:ind w:left="836" w:hanging="720"/>
      </w:pPr>
      <w:r>
        <w:t xml:space="preserve">2.2.2 </w:t>
      </w:r>
      <w:r w:rsidR="00C4358B">
        <w:t>Measurement accuracy impact</w:t>
      </w:r>
    </w:p>
    <w:p w:rsidR="00C4358B" w:rsidRDefault="00C4358B" w:rsidP="00557396">
      <w:pPr>
        <w:pStyle w:val="0Maintext"/>
        <w:spacing w:after="120" w:afterAutospacing="0" w:line="240" w:lineRule="auto"/>
        <w:ind w:firstLine="0"/>
        <w:rPr>
          <w:bCs/>
          <w:iCs/>
          <w:lang w:val="en-US" w:eastAsia="zh-CN"/>
        </w:rPr>
      </w:pPr>
      <w:r>
        <w:rPr>
          <w:bCs/>
          <w:iCs/>
          <w:lang w:val="en-US" w:eastAsia="zh-CN"/>
        </w:rPr>
        <w:t>For spatial domain beam prediction, the input could be the beam quality for some beams. However, there could be some measurement error. The measurement error could be big for some beams with lower coverage.</w:t>
      </w:r>
      <w:r w:rsidR="009A5F55">
        <w:rPr>
          <w:bCs/>
          <w:iCs/>
          <w:lang w:val="en-US" w:eastAsia="zh-CN"/>
        </w:rPr>
        <w:t xml:space="preserve"> Table 7 illustrates some results for the beam prediction accuracy based on perfect L1-RSRP as input and L1-RSRP with measurement error as input. The simulation assumption is the same as section 2.2.1. It can be observed that the measurement error could cause significant performance degradation.</w:t>
      </w: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7</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9A5F55">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30</w:t>
            </w:r>
            <w:r w:rsidR="009A5F55" w:rsidRPr="00581964">
              <w:rPr>
                <w:color w:val="000000"/>
                <w:sz w:val="20"/>
                <w:szCs w:val="20"/>
              </w:rPr>
              <w:t>.</w:t>
            </w:r>
            <w:r>
              <w:rPr>
                <w:color w:val="000000"/>
                <w:sz w:val="20"/>
                <w:szCs w:val="20"/>
              </w:rPr>
              <w:t>2</w:t>
            </w:r>
            <w:r w:rsidR="009A5F55"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19.82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46</w:t>
            </w:r>
            <w:r w:rsidR="009A5F55" w:rsidRPr="00581964">
              <w:rPr>
                <w:color w:val="000000"/>
                <w:sz w:val="20"/>
                <w:szCs w:val="20"/>
              </w:rPr>
              <w:t>.9</w:t>
            </w:r>
            <w:r>
              <w:rPr>
                <w:color w:val="000000"/>
                <w:sz w:val="20"/>
                <w:szCs w:val="20"/>
              </w:rPr>
              <w:t>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32.12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65</w:t>
            </w:r>
            <w:r w:rsidR="009A5F55" w:rsidRPr="00581964">
              <w:rPr>
                <w:color w:val="000000"/>
                <w:sz w:val="20"/>
                <w:szCs w:val="20"/>
              </w:rPr>
              <w:t>.</w:t>
            </w:r>
            <w:r>
              <w:rPr>
                <w:color w:val="000000"/>
                <w:sz w:val="20"/>
                <w:szCs w:val="20"/>
              </w:rPr>
              <w:t>58</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49.01</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84</w:t>
            </w:r>
            <w:r w:rsidR="009A5F55" w:rsidRPr="00581964">
              <w:rPr>
                <w:color w:val="000000"/>
                <w:sz w:val="20"/>
                <w:szCs w:val="20"/>
              </w:rPr>
              <w:t>.</w:t>
            </w:r>
            <w:r>
              <w:rPr>
                <w:color w:val="000000"/>
                <w:sz w:val="20"/>
                <w:szCs w:val="20"/>
              </w:rPr>
              <w:t>82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70.76</w:t>
            </w:r>
            <w:r w:rsidR="009A5F55" w:rsidRPr="00581964">
              <w:rPr>
                <w:color w:val="000000"/>
                <w:sz w:val="20"/>
                <w:szCs w:val="20"/>
              </w:rPr>
              <w:t>%</w:t>
            </w:r>
          </w:p>
        </w:tc>
      </w:tr>
    </w:tbl>
    <w:p w:rsidR="009A5F55" w:rsidRPr="00581964" w:rsidRDefault="009A5F55" w:rsidP="009A5F55">
      <w:pPr>
        <w:jc w:val="center"/>
        <w:rPr>
          <w:sz w:val="20"/>
          <w:szCs w:val="20"/>
        </w:rPr>
      </w:pP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8</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12.35</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21.41</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36.17</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58.35</w:t>
            </w:r>
            <w:r w:rsidR="009A5F55" w:rsidRPr="00581964">
              <w:rPr>
                <w:color w:val="000000"/>
                <w:sz w:val="20"/>
                <w:szCs w:val="20"/>
              </w:rPr>
              <w:t>%</w:t>
            </w:r>
          </w:p>
        </w:tc>
      </w:tr>
    </w:tbl>
    <w:p w:rsidR="009A5F55" w:rsidRDefault="009A5F55" w:rsidP="00557396">
      <w:pPr>
        <w:pStyle w:val="0Maintext"/>
        <w:spacing w:after="120" w:afterAutospacing="0" w:line="240" w:lineRule="auto"/>
        <w:ind w:firstLine="0"/>
        <w:rPr>
          <w:bCs/>
          <w:iCs/>
          <w:lang w:val="en-US" w:eastAsia="zh-CN"/>
        </w:rPr>
      </w:pPr>
    </w:p>
    <w:p w:rsidR="009A5F55" w:rsidRPr="009A5F55" w:rsidRDefault="009A5F55" w:rsidP="00557396">
      <w:pPr>
        <w:pStyle w:val="0Maintext"/>
        <w:spacing w:after="120" w:afterAutospacing="0" w:line="240" w:lineRule="auto"/>
        <w:ind w:firstLine="0"/>
        <w:rPr>
          <w:b/>
          <w:i/>
          <w:lang w:val="en-US" w:eastAsia="zh-CN"/>
        </w:rPr>
      </w:pPr>
      <w:r w:rsidRPr="009A5F55">
        <w:rPr>
          <w:b/>
          <w:i/>
          <w:lang w:val="en-US" w:eastAsia="zh-CN"/>
        </w:rPr>
        <w:t>Observation 3: The ML input with measurement error could cause significant performance degradation.</w:t>
      </w:r>
    </w:p>
    <w:p w:rsidR="00C4358B" w:rsidRDefault="00C4358B" w:rsidP="00557396">
      <w:pPr>
        <w:pStyle w:val="0Maintext"/>
        <w:spacing w:after="120" w:afterAutospacing="0" w:line="240" w:lineRule="auto"/>
        <w:ind w:firstLine="0"/>
        <w:rPr>
          <w:bCs/>
          <w:iCs/>
          <w:lang w:val="en-US" w:eastAsia="zh-CN"/>
        </w:rPr>
      </w:pPr>
    </w:p>
    <w:p w:rsidR="009A5F55" w:rsidRDefault="009A5F55" w:rsidP="009A5F55">
      <w:pPr>
        <w:pStyle w:val="Heading3"/>
        <w:numPr>
          <w:ilvl w:val="0"/>
          <w:numId w:val="0"/>
        </w:numPr>
        <w:ind w:left="836" w:hanging="720"/>
      </w:pPr>
      <w:r>
        <w:t>2.2.2 Beam pattern mismatch impact</w:t>
      </w:r>
    </w:p>
    <w:p w:rsidR="009A5F55" w:rsidRDefault="009A5F55" w:rsidP="007A0207">
      <w:pPr>
        <w:pStyle w:val="0Maintext"/>
        <w:spacing w:after="120" w:afterAutospacing="0" w:line="240" w:lineRule="auto"/>
        <w:ind w:firstLine="0"/>
        <w:rPr>
          <w:bCs/>
          <w:iCs/>
          <w:lang w:val="en-US" w:eastAsia="zh-CN"/>
        </w:rPr>
      </w:pPr>
      <w:r>
        <w:rPr>
          <w:bCs/>
          <w:iCs/>
          <w:lang w:val="en-US" w:eastAsia="zh-CN"/>
        </w:rPr>
        <w:t xml:space="preserve">For spatial domain beam prediction, it is possible that the beam pattern in the ML is different from actual beam pattern in the gNB side. Table 9 and Table 10 illustrates the case for beam prediction with and without beam pattern mismatch, where the beam pattern in the NW side is based on </w:t>
      </w:r>
      <w:r w:rsidR="007A0207">
        <w:rPr>
          <w:bCs/>
          <w:iCs/>
          <w:lang w:val="en-US" w:eastAsia="zh-CN"/>
        </w:rPr>
        <w:t xml:space="preserve">8 beams in horizontal with the direction of (-52.5, -37.5, -22.5, -7.5, 7.5, 22.5, 37.5, </w:t>
      </w:r>
      <w:proofErr w:type="gramStart"/>
      <w:r w:rsidR="007A0207">
        <w:rPr>
          <w:bCs/>
          <w:iCs/>
          <w:lang w:val="en-US" w:eastAsia="zh-CN"/>
        </w:rPr>
        <w:t>52.5)</w:t>
      </w:r>
      <w:r w:rsidR="00ED601C">
        <w:rPr>
          <w:bCs/>
          <w:iCs/>
          <w:lang w:val="en-US" w:eastAsia="zh-CN"/>
        </w:rPr>
        <w:t>*</w:t>
      </w:r>
      <w:proofErr w:type="gramEnd"/>
      <w:r w:rsidR="00ED601C">
        <w:rPr>
          <w:bCs/>
          <w:iCs/>
          <w:lang w:val="en-US" w:eastAsia="zh-CN"/>
        </w:rPr>
        <w:t>7/6</w:t>
      </w:r>
      <w:r w:rsidR="007A0207">
        <w:rPr>
          <w:bCs/>
          <w:iCs/>
          <w:lang w:val="en-US" w:eastAsia="zh-CN"/>
        </w:rPr>
        <w:t xml:space="preserve"> degree and 4 beams in vertical with the direction of (107.5, 122.5, 137.5, 152.5)</w:t>
      </w:r>
      <w:r w:rsidR="00ED601C">
        <w:rPr>
          <w:bCs/>
          <w:iCs/>
          <w:lang w:val="en-US" w:eastAsia="zh-CN"/>
        </w:rPr>
        <w:t>*7/6</w:t>
      </w:r>
      <w:r w:rsidR="007A0207">
        <w:rPr>
          <w:bCs/>
          <w:iCs/>
          <w:lang w:val="en-US" w:eastAsia="zh-CN"/>
        </w:rPr>
        <w:t xml:space="preserve"> degree</w:t>
      </w:r>
      <w:r w:rsidR="00ED601C">
        <w:rPr>
          <w:bCs/>
          <w:iCs/>
          <w:lang w:val="en-US" w:eastAsia="zh-CN"/>
        </w:rPr>
        <w:t>. The simulation assumption is the same as section 2.2.1. It can be observed that small beam pattern mismatch could cause significant beam prediction accuracy degradation.</w:t>
      </w:r>
    </w:p>
    <w:p w:rsidR="00ED601C" w:rsidRPr="00581964" w:rsidRDefault="00ED601C" w:rsidP="00ED601C">
      <w:pPr>
        <w:jc w:val="center"/>
        <w:rPr>
          <w:b/>
          <w:bCs/>
          <w:sz w:val="20"/>
          <w:szCs w:val="20"/>
        </w:rPr>
      </w:pPr>
      <w:r w:rsidRPr="00581964">
        <w:rPr>
          <w:b/>
          <w:bCs/>
          <w:sz w:val="20"/>
          <w:szCs w:val="20"/>
        </w:rPr>
        <w:t xml:space="preserve">Table </w:t>
      </w:r>
      <w:r>
        <w:rPr>
          <w:b/>
          <w:bCs/>
          <w:sz w:val="20"/>
          <w:szCs w:val="20"/>
        </w:rPr>
        <w:t>9</w:t>
      </w:r>
      <w:r w:rsidRPr="00581964">
        <w:rPr>
          <w:b/>
          <w:bCs/>
          <w:sz w:val="20"/>
          <w:szCs w:val="20"/>
        </w:rPr>
        <w:t>: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ED601C" w:rsidRPr="00581964" w:rsidTr="00ED601C">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47.98%</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11.53%</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65.49%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20.32%</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82.09%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40.64%</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93.62%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63.38%</w:t>
            </w:r>
          </w:p>
        </w:tc>
      </w:tr>
    </w:tbl>
    <w:p w:rsidR="00ED601C" w:rsidRPr="00581964" w:rsidRDefault="00ED601C" w:rsidP="00ED601C">
      <w:pPr>
        <w:jc w:val="center"/>
        <w:rPr>
          <w:sz w:val="20"/>
          <w:szCs w:val="20"/>
        </w:rPr>
      </w:pPr>
    </w:p>
    <w:p w:rsidR="00ED601C" w:rsidRDefault="00ED601C" w:rsidP="00ED601C">
      <w:pPr>
        <w:jc w:val="center"/>
        <w:rPr>
          <w:b/>
          <w:bCs/>
          <w:sz w:val="20"/>
          <w:szCs w:val="20"/>
        </w:rPr>
      </w:pPr>
      <w:r w:rsidRPr="00581964">
        <w:rPr>
          <w:b/>
          <w:bCs/>
          <w:sz w:val="20"/>
          <w:szCs w:val="20"/>
        </w:rPr>
        <w:t xml:space="preserve">Table </w:t>
      </w:r>
      <w:r>
        <w:rPr>
          <w:b/>
          <w:bCs/>
          <w:sz w:val="20"/>
          <w:szCs w:val="20"/>
        </w:rPr>
        <w:t>10</w:t>
      </w:r>
      <w:r w:rsidRPr="00581964">
        <w:rPr>
          <w:b/>
          <w:bCs/>
          <w:sz w:val="20"/>
          <w:szCs w:val="20"/>
        </w:rPr>
        <w:t>: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ED601C"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33.66%</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7.84%</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51.77%</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14.79%</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70.90%</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33.96%</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88.92%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57.70%</w:t>
            </w:r>
          </w:p>
        </w:tc>
      </w:tr>
    </w:tbl>
    <w:p w:rsidR="00ED601C" w:rsidRDefault="00ED601C" w:rsidP="00557396">
      <w:pPr>
        <w:pStyle w:val="0Maintext"/>
        <w:spacing w:after="120" w:afterAutospacing="0" w:line="240" w:lineRule="auto"/>
        <w:ind w:firstLine="0"/>
        <w:rPr>
          <w:bCs/>
          <w:iCs/>
          <w:lang w:val="en-US" w:eastAsia="zh-CN"/>
        </w:rPr>
      </w:pP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4</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9A5F55" w:rsidRDefault="002E1184" w:rsidP="00735896">
      <w:pPr>
        <w:pStyle w:val="Heading2"/>
      </w:pPr>
      <w:r>
        <w:t>Beam</w:t>
      </w:r>
      <w:r w:rsidR="00735896">
        <w:t xml:space="preserve"> prediction output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In RAN1 #110, the following is agreed on the output of the spatial-domain beam prediction. </w:t>
      </w:r>
    </w:p>
    <w:tbl>
      <w:tblPr>
        <w:tblStyle w:val="TableGrid"/>
        <w:tblW w:w="0" w:type="auto"/>
        <w:tblLook w:val="04A0" w:firstRow="1" w:lastRow="0" w:firstColumn="1" w:lastColumn="0" w:noHBand="0" w:noVBand="1"/>
      </w:tblPr>
      <w:tblGrid>
        <w:gridCol w:w="9010"/>
      </w:tblGrid>
      <w:tr w:rsidR="00735896" w:rsidTr="00735896">
        <w:tc>
          <w:tcPr>
            <w:tcW w:w="9010" w:type="dxa"/>
          </w:tcPr>
          <w:p w:rsidR="00735896" w:rsidRPr="009C0E4C" w:rsidRDefault="00735896" w:rsidP="00735896">
            <w:pPr>
              <w:autoSpaceDE w:val="0"/>
              <w:autoSpaceDN w:val="0"/>
              <w:adjustRightInd w:val="0"/>
              <w:snapToGrid w:val="0"/>
              <w:spacing w:after="120"/>
              <w:jc w:val="both"/>
              <w:rPr>
                <w:rFonts w:eastAsia="SimSun"/>
                <w:b/>
                <w:i/>
                <w:kern w:val="2"/>
                <w:sz w:val="20"/>
                <w:szCs w:val="20"/>
                <w:highlight w:val="green"/>
              </w:rPr>
            </w:pPr>
            <w:r w:rsidRPr="009C0E4C">
              <w:rPr>
                <w:rFonts w:eastAsia="SimSun"/>
                <w:b/>
                <w:i/>
                <w:kern w:val="2"/>
                <w:sz w:val="20"/>
                <w:szCs w:val="20"/>
                <w:highlight w:val="green"/>
                <w:u w:val="single"/>
              </w:rPr>
              <w:t>Agreement</w:t>
            </w:r>
          </w:p>
          <w:p w:rsidR="00735896" w:rsidRPr="00735896" w:rsidRDefault="00735896" w:rsidP="00735896">
            <w:pPr>
              <w:autoSpaceDE w:val="0"/>
              <w:autoSpaceDN w:val="0"/>
              <w:adjustRightInd w:val="0"/>
              <w:snapToGrid w:val="0"/>
              <w:spacing w:after="120"/>
              <w:jc w:val="both"/>
              <w:rPr>
                <w:rFonts w:eastAsia="SimSun"/>
                <w:sz w:val="20"/>
                <w:szCs w:val="20"/>
              </w:rPr>
            </w:pPr>
            <w:r w:rsidRPr="00735896">
              <w:rPr>
                <w:rFonts w:eastAsia="SimSun"/>
                <w:sz w:val="20"/>
                <w:szCs w:val="20"/>
              </w:rPr>
              <w:t>Regarding the sub use case BM-Case1 and B</w:t>
            </w:r>
            <w:r w:rsidRPr="00735896">
              <w:rPr>
                <w:sz w:val="20"/>
                <w:szCs w:val="20"/>
              </w:rPr>
              <w:t>M-Case2</w:t>
            </w:r>
            <w:r w:rsidRPr="00735896">
              <w:rPr>
                <w:rFonts w:eastAsia="SimSun"/>
                <w:sz w:val="20"/>
                <w:szCs w:val="20"/>
              </w:rPr>
              <w:t>, study the following alternatives for AI/ML output: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 xml:space="preserve">Alt.1: Tx and/or Rx Beam ID(s) and/or the predicted L1-RSRP of </w:t>
            </w:r>
            <w:r w:rsidRPr="00735896">
              <w:rPr>
                <w:rFonts w:eastAsia="SimSun"/>
                <w:sz w:val="20"/>
                <w:szCs w:val="20"/>
              </w:rPr>
              <w:t>the N pr</w:t>
            </w:r>
            <w:r w:rsidRPr="00735896">
              <w:rPr>
                <w:sz w:val="20"/>
                <w:szCs w:val="20"/>
              </w:rPr>
              <w:t xml:space="preserve">edicted DL Tx and/or Rx beams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Alt.2: Tx and/or Rx Beam ID(s) of the</w:t>
            </w:r>
            <w:r w:rsidRPr="00735896">
              <w:rPr>
                <w:rFonts w:eastAsia="SimSun"/>
                <w:sz w:val="20"/>
                <w:szCs w:val="20"/>
              </w:rPr>
              <w:t xml:space="preserve"> N pr</w:t>
            </w:r>
            <w:r w:rsidRPr="00735896">
              <w:rPr>
                <w:sz w:val="20"/>
                <w:szCs w:val="20"/>
              </w:rPr>
              <w:t xml:space="preserve">edicted DL Tx and/or Rx beams </w:t>
            </w:r>
            <w:proofErr w:type="gramStart"/>
            <w:r w:rsidRPr="00735896">
              <w:rPr>
                <w:sz w:val="20"/>
                <w:szCs w:val="20"/>
              </w:rPr>
              <w:t>and  other</w:t>
            </w:r>
            <w:proofErr w:type="gramEnd"/>
            <w:r w:rsidRPr="00735896">
              <w:rPr>
                <w:sz w:val="20"/>
                <w:szCs w:val="20"/>
              </w:rPr>
              <w:t xml:space="preserve"> information</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FFS: other information (e.g., probability for the beam to be the best beam, </w:t>
            </w:r>
            <w:r w:rsidRPr="00735896">
              <w:rPr>
                <w:sz w:val="20"/>
                <w:szCs w:val="20"/>
              </w:rPr>
              <w:t xml:space="preserve">the associated confidence, beam application time/dwelling time, Predicted Beam failure)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Alt.3: </w:t>
            </w:r>
            <w:r w:rsidRPr="00735896">
              <w:rPr>
                <w:sz w:val="20"/>
                <w:szCs w:val="20"/>
              </w:rPr>
              <w:t xml:space="preserve">Tx and/or Rx Beam angle(s) </w:t>
            </w:r>
            <w:r w:rsidRPr="00735896">
              <w:rPr>
                <w:rFonts w:eastAsia="SimSun"/>
                <w:sz w:val="20"/>
                <w:szCs w:val="20"/>
              </w:rPr>
              <w:t xml:space="preserve">and/or the predicted L1-RSRP </w:t>
            </w:r>
            <w:r w:rsidRPr="00735896">
              <w:rPr>
                <w:sz w:val="20"/>
                <w:szCs w:val="20"/>
              </w:rPr>
              <w:t>of t</w:t>
            </w:r>
            <w:r w:rsidRPr="00735896">
              <w:rPr>
                <w:rFonts w:eastAsia="SimSun"/>
                <w:sz w:val="20"/>
                <w:szCs w:val="20"/>
              </w:rPr>
              <w:t>he N p</w:t>
            </w:r>
            <w:r w:rsidRPr="00735896">
              <w:rPr>
                <w:sz w:val="20"/>
                <w:szCs w:val="20"/>
              </w:rPr>
              <w:t>redicted DL Tx and/or Rx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hint="eastAsia"/>
                <w:sz w:val="20"/>
                <w:szCs w:val="20"/>
              </w:rPr>
              <w:t>F</w:t>
            </w:r>
            <w:r w:rsidRPr="00735896">
              <w:rPr>
                <w:rFonts w:eastAsia="SimSun"/>
                <w:sz w:val="20"/>
                <w:szCs w:val="20"/>
              </w:rPr>
              <w:t xml:space="preserve">FS: </w:t>
            </w:r>
            <w:r w:rsidRPr="00735896">
              <w:rPr>
                <w:rFonts w:eastAsia="SimSun" w:hint="eastAsia"/>
                <w:sz w:val="20"/>
                <w:szCs w:val="20"/>
              </w:rPr>
              <w:t>detail</w:t>
            </w:r>
            <w:r w:rsidRPr="00735896">
              <w:rPr>
                <w:rFonts w:eastAsia="SimSun"/>
                <w:sz w:val="20"/>
                <w:szCs w:val="20"/>
              </w:rPr>
              <w:t>s of Beam angle(s)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FFS: how to select the N DL Tx and/or Rx beams (e.g., L1-RSRP higher than a threshold,</w:t>
            </w:r>
            <w:r w:rsidRPr="00735896">
              <w:rPr>
                <w:sz w:val="20"/>
                <w:szCs w:val="20"/>
                <w:lang w:eastAsia="ja-JP"/>
              </w:rPr>
              <w:t xml:space="preserve"> a sum probability of being the best beams higher than a threshold, </w:t>
            </w:r>
            <w:r w:rsidRPr="00735896">
              <w:rPr>
                <w:rFonts w:eastAsia="SimSun"/>
                <w:sz w:val="20"/>
                <w:szCs w:val="20"/>
              </w:rPr>
              <w:t xml:space="preserve">RSRP corresponding to the expected </w:t>
            </w:r>
            <w:r w:rsidRPr="00735896">
              <w:rPr>
                <w:sz w:val="20"/>
                <w:szCs w:val="20"/>
              </w:rPr>
              <w:t>Tx and/or Rx</w:t>
            </w:r>
            <w:r w:rsidRPr="00735896">
              <w:rPr>
                <w:rFonts w:eastAsia="SimSun"/>
                <w:sz w:val="20"/>
                <w:szCs w:val="20"/>
              </w:rPr>
              <w:t xml:space="preserve"> beam direction(s)</w:t>
            </w:r>
            <w:r w:rsidRPr="00735896">
              <w:rPr>
                <w:sz w:val="20"/>
                <w:szCs w:val="20"/>
                <w:lang w:eastAsia="ja-JP"/>
              </w:rPr>
              <w: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lastRenderedPageBreak/>
              <w:t xml:space="preserve">Note1: It is up to companies to provide other alternative(s) </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Note2: Beam ID is only used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Note3: All the outputs are “nominal” and only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Note4: Values of N is up to each company. </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Note5: All of the outputs in the above alternatives may vary based on whether the AI/ML model inference is at UE side or gNB side.</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 6: The Top-N beam IDs might have been derived via post-processing of the ML-model output</w:t>
            </w:r>
          </w:p>
          <w:p w:rsidR="00735896" w:rsidRDefault="00735896" w:rsidP="00557396">
            <w:pPr>
              <w:pStyle w:val="0Maintext"/>
              <w:spacing w:after="120" w:afterAutospacing="0" w:line="240" w:lineRule="auto"/>
              <w:ind w:firstLine="0"/>
              <w:rPr>
                <w:bCs/>
                <w:iCs/>
                <w:lang w:val="en-US" w:eastAsia="zh-CN"/>
              </w:rPr>
            </w:pPr>
          </w:p>
        </w:tc>
      </w:tr>
    </w:tbl>
    <w:p w:rsidR="00735896" w:rsidRDefault="00735896" w:rsidP="00557396">
      <w:pPr>
        <w:pStyle w:val="0Maintext"/>
        <w:spacing w:after="120" w:afterAutospacing="0" w:line="240" w:lineRule="auto"/>
        <w:ind w:firstLine="0"/>
        <w:rPr>
          <w:bCs/>
          <w:iCs/>
          <w:lang w:val="en-US" w:eastAsia="zh-CN"/>
        </w:rPr>
      </w:pPr>
    </w:p>
    <w:p w:rsidR="00735896" w:rsidRDefault="00735896" w:rsidP="00557396">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1 (codebook-based beamforming): Predict the beam from a beam codebook</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2 (Channel-based beamforming): Predict the channel eigen vector</w:t>
      </w:r>
      <w:r w:rsidR="002E1184">
        <w:rPr>
          <w:bCs/>
          <w:iCs/>
          <w:lang w:val="en-US" w:eastAsia="zh-CN"/>
        </w:rPr>
        <w:t>, which is</w:t>
      </w:r>
      <w:r>
        <w:rPr>
          <w:bCs/>
          <w:iCs/>
          <w:lang w:val="en-US" w:eastAsia="zh-CN"/>
        </w:rPr>
        <w:t xml:space="preserve"> </w:t>
      </w:r>
      <w:r w:rsidR="002E1184">
        <w:rPr>
          <w:bCs/>
          <w:iCs/>
          <w:lang w:val="en-US" w:eastAsia="zh-CN"/>
        </w:rPr>
        <w:t>used as the beamforming weight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Figure 4 illustrates the simulation results for the RSRP distribution for the options above. It can be observed that the </w:t>
      </w:r>
      <w:r w:rsidR="002E1184">
        <w:rPr>
          <w:bCs/>
          <w:iCs/>
          <w:lang w:val="en-US" w:eastAsia="zh-CN"/>
        </w:rPr>
        <w:t>channel-based beamforming can provide at least 5 dB performance gain compared to the codebook-based beamforming. The simulation assumption is provided in Table A-1. Therefore, it is necessary to study the channel eigenvector (Alt3) as the output for beam prediction.</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4A397AD6" wp14:editId="731D5B02">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7207" cy="2862158"/>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 xml:space="preserve">Figure 4: Simulation results for RSRP distribution for channel-based beamforming and </w:t>
      </w:r>
      <w:proofErr w:type="gramStart"/>
      <w:r w:rsidRPr="002E1184">
        <w:rPr>
          <w:b/>
          <w:iCs/>
          <w:lang w:val="en-US" w:eastAsia="zh-CN"/>
        </w:rPr>
        <w:t>codebook based</w:t>
      </w:r>
      <w:proofErr w:type="gramEnd"/>
      <w:r w:rsidRPr="002E1184">
        <w:rPr>
          <w:b/>
          <w:iCs/>
          <w:lang w:val="en-US" w:eastAsia="zh-CN"/>
        </w:rPr>
        <w:t xml:space="preserve"> beamforming</w:t>
      </w:r>
    </w:p>
    <w:p w:rsidR="00735896" w:rsidRDefault="00735896" w:rsidP="00557396">
      <w:pPr>
        <w:pStyle w:val="0Maintext"/>
        <w:spacing w:after="120" w:afterAutospacing="0" w:line="240" w:lineRule="auto"/>
        <w:ind w:firstLine="0"/>
        <w:rPr>
          <w:bCs/>
          <w:iCs/>
          <w:lang w:val="en-US" w:eastAsia="zh-CN"/>
        </w:rPr>
      </w:pPr>
    </w:p>
    <w:p w:rsidR="002E1184" w:rsidRPr="009A5F55" w:rsidRDefault="002E1184" w:rsidP="002E1184">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5</w:t>
      </w:r>
      <w:r w:rsidRPr="009A5F55">
        <w:rPr>
          <w:b/>
          <w:i/>
          <w:lang w:val="en-US" w:eastAsia="zh-CN"/>
        </w:rPr>
        <w:t xml:space="preserve">: </w:t>
      </w:r>
      <w:r>
        <w:rPr>
          <w:b/>
          <w:i/>
          <w:lang w:val="en-US" w:eastAsia="zh-CN"/>
        </w:rPr>
        <w:t>Channel-based beamforming could provide at least 5 dB RSRP gain compared to codebook-based beamforming.</w:t>
      </w:r>
    </w:p>
    <w:p w:rsidR="002E1184" w:rsidRDefault="002E1184" w:rsidP="00557396">
      <w:pPr>
        <w:pStyle w:val="0Maintext"/>
        <w:spacing w:after="120" w:afterAutospacing="0" w:line="240" w:lineRule="auto"/>
        <w:ind w:firstLine="0"/>
        <w:rPr>
          <w:bCs/>
          <w:iCs/>
          <w:lang w:val="en-US" w:eastAsia="zh-CN"/>
        </w:rPr>
      </w:pPr>
    </w:p>
    <w:p w:rsidR="002E1184" w:rsidRDefault="002E1184" w:rsidP="002E1184">
      <w:pPr>
        <w:pStyle w:val="Heading2"/>
      </w:pPr>
      <w:r>
        <w:t>Beam prediction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5.</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3B0BB62F" wp14:editId="2EF48089">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4494" cy="2414373"/>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Figure 5: A potential issue for beam selection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6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2E1184" w:rsidRDefault="00500D48" w:rsidP="00500D48">
      <w:pPr>
        <w:pStyle w:val="0Maintext"/>
        <w:spacing w:after="120" w:afterAutospacing="0" w:line="240" w:lineRule="auto"/>
        <w:ind w:firstLine="0"/>
        <w:jc w:val="center"/>
        <w:rPr>
          <w:bCs/>
          <w:iCs/>
          <w:lang w:val="en-US" w:eastAsia="zh-CN"/>
        </w:rPr>
      </w:pPr>
      <w:r>
        <w:rPr>
          <w:noProof/>
        </w:rPr>
        <w:drawing>
          <wp:inline distT="0" distB="0" distL="0" distR="0" wp14:anchorId="1D30CE14" wp14:editId="6DD562F9">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E1184" w:rsidRPr="00500D48" w:rsidRDefault="002E1184" w:rsidP="00500D48">
      <w:pPr>
        <w:pStyle w:val="0Maintext"/>
        <w:spacing w:after="120" w:afterAutospacing="0" w:line="240" w:lineRule="auto"/>
        <w:ind w:firstLine="0"/>
        <w:jc w:val="center"/>
        <w:rPr>
          <w:b/>
          <w:iCs/>
          <w:lang w:val="en-US" w:eastAsia="zh-CN"/>
        </w:rPr>
      </w:pPr>
      <w:r w:rsidRPr="00500D48">
        <w:rPr>
          <w:b/>
          <w:iCs/>
          <w:lang w:val="en-US" w:eastAsia="zh-CN"/>
        </w:rPr>
        <w:t xml:space="preserve">Figure 6: </w:t>
      </w:r>
      <w:r w:rsidR="00500D48" w:rsidRPr="00500D48">
        <w:rPr>
          <w:b/>
          <w:iCs/>
          <w:lang w:val="en-US" w:eastAsia="zh-CN"/>
        </w:rPr>
        <w:t>Average cell SE</w:t>
      </w:r>
      <w:r w:rsidRPr="00500D48">
        <w:rPr>
          <w:b/>
          <w:iCs/>
          <w:lang w:val="en-US" w:eastAsia="zh-CN"/>
        </w:rPr>
        <w:t xml:space="preserve"> for MU-MIMO and SU-MIMO</w:t>
      </w:r>
    </w:p>
    <w:p w:rsidR="00500D48" w:rsidRDefault="00500D48" w:rsidP="00500D48">
      <w:pPr>
        <w:pStyle w:val="0Maintext"/>
        <w:spacing w:after="120" w:afterAutospacing="0" w:line="240" w:lineRule="auto"/>
        <w:ind w:firstLine="0"/>
        <w:jc w:val="center"/>
        <w:rPr>
          <w:bCs/>
          <w:iCs/>
          <w:lang w:val="en-US" w:eastAsia="zh-CN"/>
        </w:rPr>
      </w:pPr>
      <w:r>
        <w:rPr>
          <w:noProof/>
        </w:rPr>
        <w:lastRenderedPageBreak/>
        <w:drawing>
          <wp:inline distT="0" distB="0" distL="0" distR="0" wp14:anchorId="2D437E43" wp14:editId="38013B3B">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00D48" w:rsidRPr="00500D48" w:rsidRDefault="00500D48" w:rsidP="00500D48">
      <w:pPr>
        <w:pStyle w:val="0Maintext"/>
        <w:spacing w:after="120" w:afterAutospacing="0" w:line="240" w:lineRule="auto"/>
        <w:ind w:firstLine="0"/>
        <w:jc w:val="center"/>
        <w:rPr>
          <w:b/>
          <w:iCs/>
          <w:lang w:val="en-US" w:eastAsia="zh-CN"/>
        </w:rPr>
      </w:pPr>
      <w:r w:rsidRPr="00500D48">
        <w:rPr>
          <w:b/>
          <w:iCs/>
          <w:lang w:val="en-US" w:eastAsia="zh-CN"/>
        </w:rPr>
        <w:t>Figure 7: Cell edge SE for MU-MIMO and SU-MIMO</w:t>
      </w:r>
    </w:p>
    <w:p w:rsidR="00735896" w:rsidRDefault="00735896" w:rsidP="00557396">
      <w:pPr>
        <w:pStyle w:val="0Maintext"/>
        <w:spacing w:after="120" w:afterAutospacing="0" w:line="240" w:lineRule="auto"/>
        <w:ind w:firstLine="0"/>
        <w:rPr>
          <w:bCs/>
          <w:iCs/>
          <w:lang w:val="en-US" w:eastAsia="zh-CN"/>
        </w:rPr>
      </w:pPr>
    </w:p>
    <w:p w:rsidR="00500D48" w:rsidRDefault="00500D48" w:rsidP="00557396">
      <w:pPr>
        <w:pStyle w:val="0Maintext"/>
        <w:spacing w:after="120" w:afterAutospacing="0" w:line="240" w:lineRule="auto"/>
        <w:ind w:firstLine="0"/>
        <w:rPr>
          <w:b/>
          <w:i/>
          <w:lang w:val="en-US" w:eastAsia="zh-CN"/>
        </w:rPr>
      </w:pPr>
      <w:r w:rsidRPr="00500D48">
        <w:rPr>
          <w:b/>
          <w:i/>
          <w:lang w:val="en-US" w:eastAsia="zh-CN"/>
        </w:rPr>
        <w:t xml:space="preserve">Observation 6: MU-MIMO with weak beam information can provide significant performance gain compared to SU-MIMO, and MU-MIMO without weak beam information cannot provide performance gain. </w:t>
      </w:r>
    </w:p>
    <w:p w:rsidR="00500D48" w:rsidRPr="00500D48" w:rsidRDefault="00500D48" w:rsidP="00557396">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2: For spatial-domain beam prediction, study to predict the “weak” beam to facilitate the MU-MIMO UE pairing.</w:t>
      </w:r>
    </w:p>
    <w:p w:rsidR="00500D48" w:rsidRDefault="00500D48" w:rsidP="00557396">
      <w:pPr>
        <w:pStyle w:val="0Maintext"/>
        <w:spacing w:after="120" w:afterAutospacing="0" w:line="240" w:lineRule="auto"/>
        <w:ind w:firstLine="0"/>
        <w:rPr>
          <w:bCs/>
          <w:iCs/>
          <w:lang w:val="en-US" w:eastAsia="zh-CN"/>
        </w:rPr>
      </w:pPr>
    </w:p>
    <w:p w:rsidR="00842B6F" w:rsidRDefault="00842B6F" w:rsidP="00842B6F">
      <w:pPr>
        <w:pStyle w:val="Heading2"/>
      </w:pPr>
      <w:r>
        <w:t>UE-group based beam prediction</w:t>
      </w:r>
    </w:p>
    <w:p w:rsidR="00842B6F" w:rsidRDefault="00842B6F" w:rsidP="00557396">
      <w:pPr>
        <w:pStyle w:val="0Maintext"/>
        <w:spacing w:after="120" w:afterAutospacing="0" w:line="240" w:lineRule="auto"/>
        <w:ind w:firstLine="0"/>
        <w:rPr>
          <w:bCs/>
          <w:iCs/>
          <w:lang w:val="en-US" w:eastAsia="zh-CN"/>
        </w:rPr>
      </w:pPr>
      <w:r>
        <w:rPr>
          <w:bCs/>
          <w:iCs/>
          <w:lang w:val="en-US" w:eastAsia="zh-CN"/>
        </w:rPr>
        <w:t>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842B6F" w:rsidRDefault="00842B6F" w:rsidP="00B95587">
      <w:pPr>
        <w:pStyle w:val="0Maintext"/>
        <w:spacing w:after="120" w:afterAutospacing="0" w:line="240" w:lineRule="auto"/>
        <w:ind w:firstLine="0"/>
        <w:jc w:val="center"/>
        <w:rPr>
          <w:bCs/>
          <w:iCs/>
          <w:lang w:val="en-US" w:eastAsia="zh-CN"/>
        </w:rPr>
      </w:pPr>
      <w:r w:rsidRPr="00842B6F">
        <w:rPr>
          <w:bCs/>
          <w:iCs/>
          <w:noProof/>
          <w:lang w:val="en-US" w:eastAsia="zh-CN"/>
        </w:rPr>
        <w:lastRenderedPageBreak/>
        <w:drawing>
          <wp:inline distT="0" distB="0" distL="0" distR="0" wp14:anchorId="11406122" wp14:editId="052B32FF">
            <wp:extent cx="4622800" cy="3657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22800" cy="3657600"/>
                    </a:xfrm>
                    <a:prstGeom prst="rect">
                      <a:avLst/>
                    </a:prstGeom>
                  </pic:spPr>
                </pic:pic>
              </a:graphicData>
            </a:graphic>
          </wp:inline>
        </w:drawing>
      </w:r>
    </w:p>
    <w:p w:rsidR="00842B6F" w:rsidRPr="00B95587" w:rsidRDefault="00842B6F" w:rsidP="00B95587">
      <w:pPr>
        <w:pStyle w:val="0Maintext"/>
        <w:spacing w:after="120" w:afterAutospacing="0" w:line="240" w:lineRule="auto"/>
        <w:ind w:firstLine="0"/>
        <w:jc w:val="center"/>
        <w:rPr>
          <w:b/>
          <w:iCs/>
          <w:lang w:val="en-US" w:eastAsia="zh-CN"/>
        </w:rPr>
      </w:pPr>
      <w:r w:rsidRPr="00B95587">
        <w:rPr>
          <w:b/>
          <w:iCs/>
          <w:lang w:val="en-US" w:eastAsia="zh-CN"/>
        </w:rPr>
        <w:t>Figure 8: A potential scenario for UE-group based beam prediction</w:t>
      </w:r>
    </w:p>
    <w:p w:rsidR="00B95587" w:rsidRPr="00B95587" w:rsidRDefault="00B95587" w:rsidP="00557396">
      <w:pPr>
        <w:pStyle w:val="0Maintext"/>
        <w:spacing w:after="120" w:afterAutospacing="0" w:line="240" w:lineRule="auto"/>
        <w:ind w:firstLine="0"/>
        <w:rPr>
          <w:b/>
          <w:i/>
          <w:lang w:val="en-US" w:eastAsia="zh-CN"/>
        </w:rPr>
      </w:pPr>
      <w:r w:rsidRPr="00B95587">
        <w:rPr>
          <w:b/>
          <w:i/>
          <w:lang w:val="en-US" w:eastAsia="zh-CN"/>
        </w:rPr>
        <w:t xml:space="preserve">Proposal 3: Study the UE-group based beam prediction for the UEs with the similar location and </w:t>
      </w:r>
      <w:r w:rsidR="000D2348">
        <w:rPr>
          <w:b/>
          <w:i/>
          <w:lang w:val="en-US" w:eastAsia="zh-CN"/>
        </w:rPr>
        <w:t>trajectory</w:t>
      </w:r>
      <w:r w:rsidRPr="00B95587">
        <w:rPr>
          <w:b/>
          <w:i/>
          <w:lang w:val="en-US" w:eastAsia="zh-CN"/>
        </w:rPr>
        <w:t>.</w:t>
      </w:r>
    </w:p>
    <w:p w:rsidR="00842B6F" w:rsidRPr="001B33B8" w:rsidRDefault="00842B6F"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456170" w:rsidRPr="00266C0B" w:rsidRDefault="00456170" w:rsidP="00456170">
      <w:pPr>
        <w:pStyle w:val="0Maintext"/>
        <w:spacing w:after="120" w:afterAutospacing="0" w:line="240" w:lineRule="auto"/>
        <w:ind w:firstLine="0"/>
        <w:rPr>
          <w:b/>
          <w:i/>
          <w:lang w:val="en-US" w:eastAsia="zh-CN"/>
        </w:rPr>
      </w:pPr>
      <w:r>
        <w:rPr>
          <w:b/>
          <w:i/>
          <w:lang w:val="en-US" w:eastAsia="zh-CN"/>
        </w:rPr>
        <w:t xml:space="preserve">Proposal </w:t>
      </w:r>
      <w:r w:rsidR="009A5F55">
        <w:rPr>
          <w:b/>
          <w:i/>
          <w:lang w:val="en-US" w:eastAsia="zh-CN"/>
        </w:rPr>
        <w:t>1</w:t>
      </w:r>
      <w:r>
        <w:rPr>
          <w:b/>
          <w:i/>
          <w:lang w:val="en-US" w:eastAsia="zh-CN"/>
        </w:rPr>
        <w:t xml:space="preserve">: Add BS height = 10m as a second option as evaluation assumption to be aligned with evaluation assumption in other agenda items and to create more beams for indoor UEs in </w:t>
      </w:r>
      <w:r w:rsidR="00EC2873">
        <w:rPr>
          <w:b/>
          <w:i/>
          <w:lang w:val="en-US" w:eastAsia="zh-CN"/>
        </w:rPr>
        <w:t>vertical</w:t>
      </w:r>
      <w:r>
        <w:rPr>
          <w:b/>
          <w:i/>
          <w:lang w:val="en-US" w:eastAsia="zh-CN"/>
        </w:rPr>
        <w:t xml:space="preserve"> domain.</w:t>
      </w:r>
    </w:p>
    <w:p w:rsidR="00B95587" w:rsidRPr="00500D48" w:rsidRDefault="00B95587" w:rsidP="00B95587">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2: For spatial-domain beam prediction, study to predict the “weak” beam to facilitate the MU-MIMO UE pairing.</w:t>
      </w:r>
    </w:p>
    <w:p w:rsidR="00B95587" w:rsidRPr="00B95587" w:rsidRDefault="00B95587" w:rsidP="00B95587">
      <w:pPr>
        <w:pStyle w:val="0Maintext"/>
        <w:spacing w:after="120" w:afterAutospacing="0" w:line="240" w:lineRule="auto"/>
        <w:ind w:firstLine="0"/>
        <w:rPr>
          <w:b/>
          <w:i/>
          <w:lang w:val="en-US" w:eastAsia="zh-CN"/>
        </w:rPr>
      </w:pPr>
      <w:r w:rsidRPr="00B95587">
        <w:rPr>
          <w:b/>
          <w:i/>
          <w:lang w:val="en-US" w:eastAsia="zh-CN"/>
        </w:rPr>
        <w:t xml:space="preserve">Proposal 3: Study the UE-group based beam prediction for the UEs with the similar location and </w:t>
      </w:r>
      <w:r w:rsidR="000D2348">
        <w:rPr>
          <w:b/>
          <w:i/>
          <w:lang w:val="en-US" w:eastAsia="zh-CN"/>
        </w:rPr>
        <w:t>trajectory</w:t>
      </w:r>
      <w:r w:rsidRPr="00B95587">
        <w:rPr>
          <w:b/>
          <w:i/>
          <w:lang w:val="en-US" w:eastAsia="zh-CN"/>
        </w:rPr>
        <w:t>.</w:t>
      </w: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0Maintext"/>
        <w:spacing w:after="120" w:afterAutospacing="0" w:line="240" w:lineRule="auto"/>
        <w:ind w:firstLine="0"/>
        <w:rPr>
          <w:b/>
          <w:i/>
          <w:lang w:val="en-US" w:eastAsia="zh-CN"/>
        </w:rPr>
      </w:pPr>
      <w:r w:rsidRPr="00F73C7F">
        <w:rPr>
          <w:b/>
          <w:i/>
          <w:lang w:val="en-US" w:eastAsia="zh-CN"/>
        </w:rPr>
        <w:t>Observation 1: CIR based spatial domain beam prediction outperforms the L1-RSRP based beam prediction.</w:t>
      </w:r>
    </w:p>
    <w:p w:rsidR="00F73C7F" w:rsidRDefault="00F73C7F" w:rsidP="00F73C7F">
      <w:pPr>
        <w:pStyle w:val="0Maintext"/>
        <w:spacing w:after="120" w:afterAutospacing="0" w:line="240" w:lineRule="auto"/>
        <w:ind w:firstLine="0"/>
        <w:rPr>
          <w:b/>
          <w:i/>
          <w:lang w:val="en-US" w:eastAsia="zh-CN"/>
        </w:rPr>
      </w:pPr>
      <w:r w:rsidRPr="00F73C7F">
        <w:rPr>
          <w:b/>
          <w:i/>
          <w:lang w:val="en-US" w:eastAsia="zh-CN"/>
        </w:rPr>
        <w:t>Observation 2: UE orientation could not help to increase the accuracy for L1-RSRP based beam prediction.</w:t>
      </w: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Observation 3: The ML input with measurement error could cause significant performance degradation.</w:t>
      </w:r>
    </w:p>
    <w:p w:rsidR="00ED601C"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4</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B95587" w:rsidRPr="009A5F55" w:rsidRDefault="00B95587" w:rsidP="00B95587">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5</w:t>
      </w:r>
      <w:r w:rsidRPr="009A5F55">
        <w:rPr>
          <w:b/>
          <w:i/>
          <w:lang w:val="en-US" w:eastAsia="zh-CN"/>
        </w:rPr>
        <w:t xml:space="preserve">: </w:t>
      </w:r>
      <w:r>
        <w:rPr>
          <w:b/>
          <w:i/>
          <w:lang w:val="en-US" w:eastAsia="zh-CN"/>
        </w:rPr>
        <w:t>Channel-based beamforming could provide at least 5 dB RSRP gain compared to codebook-based beamforming.</w:t>
      </w:r>
    </w:p>
    <w:p w:rsidR="00B95587" w:rsidRDefault="00B95587" w:rsidP="00B95587">
      <w:pPr>
        <w:pStyle w:val="0Maintext"/>
        <w:spacing w:after="120" w:afterAutospacing="0" w:line="240" w:lineRule="auto"/>
        <w:ind w:firstLine="0"/>
        <w:rPr>
          <w:b/>
          <w:i/>
          <w:lang w:val="en-US" w:eastAsia="zh-CN"/>
        </w:rPr>
      </w:pPr>
      <w:r w:rsidRPr="00500D48">
        <w:rPr>
          <w:b/>
          <w:i/>
          <w:lang w:val="en-US" w:eastAsia="zh-CN"/>
        </w:rPr>
        <w:t xml:space="preserve">Observation 6: MU-MIMO with weak beam information can provide significant performance gain compared to SU-MIMO, and MU-MIMO without weak beam information cannot provide performance gain. </w:t>
      </w: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Heading1"/>
      </w:pPr>
      <w:r w:rsidRPr="00F73C7F">
        <w:lastRenderedPageBreak/>
        <w:t>Appendix – Simulation Assumption</w:t>
      </w:r>
    </w:p>
    <w:p w:rsidR="00F73C7F" w:rsidRPr="007A0207" w:rsidRDefault="00F73C7F" w:rsidP="007A0207">
      <w:pPr>
        <w:pStyle w:val="0Maintext"/>
        <w:spacing w:after="120" w:afterAutospacing="0" w:line="240" w:lineRule="auto"/>
        <w:ind w:firstLine="0"/>
        <w:jc w:val="center"/>
        <w:rPr>
          <w:b/>
          <w:iCs/>
          <w:lang w:val="en-US" w:eastAsia="zh-CN"/>
        </w:rPr>
      </w:pPr>
      <w:r w:rsidRPr="007A0207">
        <w:rPr>
          <w:b/>
          <w:iCs/>
          <w:lang w:val="en-US" w:eastAsia="zh-CN"/>
        </w:rPr>
        <w:t>Table A-1: Simulation Assumption</w:t>
      </w:r>
    </w:p>
    <w:tbl>
      <w:tblPr>
        <w:tblStyle w:val="ListTable4-Accent2"/>
        <w:tblW w:w="0" w:type="auto"/>
        <w:tblLook w:val="04A0" w:firstRow="1" w:lastRow="0" w:firstColumn="1" w:lastColumn="0" w:noHBand="0" w:noVBand="1"/>
      </w:tblPr>
      <w:tblGrid>
        <w:gridCol w:w="3256"/>
        <w:gridCol w:w="5754"/>
      </w:tblGrid>
      <w:tr w:rsidR="007A0207" w:rsidTr="007174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Parameter</w:t>
            </w:r>
          </w:p>
        </w:tc>
        <w:tc>
          <w:tcPr>
            <w:tcW w:w="5754" w:type="dxa"/>
          </w:tcPr>
          <w:p w:rsidR="007A0207" w:rsidRDefault="007A0207" w:rsidP="00F1538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Scenario</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Number of UEs</w:t>
            </w:r>
          </w:p>
        </w:tc>
        <w:tc>
          <w:tcPr>
            <w:tcW w:w="5754" w:type="dxa"/>
          </w:tcPr>
          <w:p w:rsidR="007A0207" w:rsidRPr="007174EC"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ascii="SimSun" w:eastAsia="SimSun" w:hAnsi="SimSun" w:cs="SimSun"/>
                <w:bCs/>
                <w:iCs/>
                <w:lang w:val="en-US" w:eastAsia="zh-CN"/>
              </w:rPr>
            </w:pPr>
            <w:r>
              <w:rPr>
                <w:bCs/>
                <w:iCs/>
                <w:lang w:val="en-US" w:eastAsia="zh-CN"/>
              </w:rPr>
              <w:t>100000 (80% for training and 20% for testing)</w:t>
            </w:r>
            <w:r w:rsidR="007174EC">
              <w:rPr>
                <w:rFonts w:hint="eastAsia"/>
                <w:bCs/>
                <w:iCs/>
                <w:lang w:val="en-US" w:eastAsia="zh-CN"/>
              </w:rPr>
              <w:t>,</w:t>
            </w:r>
            <w:r w:rsidR="007174EC">
              <w:rPr>
                <w:bCs/>
                <w:iCs/>
                <w:lang w:val="en-US" w:eastAsia="zh-CN"/>
              </w:rPr>
              <w:t xml:space="preserve"> 210 for throughput related simulation</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dropping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antenna structure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(4, 8, 2, 4, 8, 1, 1)</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antenna structure</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4, 2, 1, 4, 1, 2)</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Carrier frequency</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SCS</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Bandwidth</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Tx power</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Minimal gNB-UE distance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height</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r w:rsidR="007174EC" w:rsidTr="007174EC">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Scheduler</w:t>
            </w:r>
          </w:p>
        </w:tc>
        <w:tc>
          <w:tcPr>
            <w:tcW w:w="5754" w:type="dxa"/>
          </w:tcPr>
          <w:p w:rsidR="007174EC" w:rsidRDefault="007174EC"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PF</w:t>
            </w:r>
          </w:p>
        </w:tc>
      </w:tr>
      <w:tr w:rsidR="007174EC"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Traffic model</w:t>
            </w:r>
          </w:p>
        </w:tc>
        <w:tc>
          <w:tcPr>
            <w:tcW w:w="5754" w:type="dxa"/>
          </w:tcPr>
          <w:p w:rsidR="007174EC" w:rsidRDefault="007174EC"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Full buffer</w:t>
            </w:r>
          </w:p>
        </w:tc>
      </w:tr>
    </w:tbl>
    <w:p w:rsidR="00F73C7F" w:rsidRPr="00F73C7F" w:rsidRDefault="00F73C7F" w:rsidP="00456170">
      <w:pPr>
        <w:pStyle w:val="0Maintext"/>
        <w:spacing w:after="120" w:afterAutospacing="0" w:line="240" w:lineRule="auto"/>
        <w:ind w:firstLine="0"/>
        <w:rPr>
          <w:bCs/>
          <w:iCs/>
          <w:lang w:val="en-US" w:eastAsia="zh-CN"/>
        </w:rPr>
      </w:pPr>
    </w:p>
    <w:sectPr w:rsidR="00F73C7F" w:rsidRPr="00F73C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5C2121"/>
    <w:multiLevelType w:val="hybridMultilevel"/>
    <w:tmpl w:val="72746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556745676">
    <w:abstractNumId w:val="1"/>
  </w:num>
  <w:num w:numId="2" w16cid:durableId="809859212">
    <w:abstractNumId w:val="31"/>
  </w:num>
  <w:num w:numId="3" w16cid:durableId="481042966">
    <w:abstractNumId w:val="10"/>
  </w:num>
  <w:num w:numId="4" w16cid:durableId="1352225824">
    <w:abstractNumId w:val="13"/>
  </w:num>
  <w:num w:numId="5" w16cid:durableId="869688007">
    <w:abstractNumId w:val="18"/>
  </w:num>
  <w:num w:numId="6" w16cid:durableId="2053454020">
    <w:abstractNumId w:val="6"/>
  </w:num>
  <w:num w:numId="7" w16cid:durableId="1968390458">
    <w:abstractNumId w:val="19"/>
  </w:num>
  <w:num w:numId="8" w16cid:durableId="575827695">
    <w:abstractNumId w:val="32"/>
  </w:num>
  <w:num w:numId="9" w16cid:durableId="588349144">
    <w:abstractNumId w:val="16"/>
  </w:num>
  <w:num w:numId="10" w16cid:durableId="50663222">
    <w:abstractNumId w:val="14"/>
  </w:num>
  <w:num w:numId="11" w16cid:durableId="1255243643">
    <w:abstractNumId w:val="4"/>
  </w:num>
  <w:num w:numId="12" w16cid:durableId="413822843">
    <w:abstractNumId w:val="3"/>
  </w:num>
  <w:num w:numId="13" w16cid:durableId="11692952">
    <w:abstractNumId w:val="15"/>
  </w:num>
  <w:num w:numId="14" w16cid:durableId="2051297000">
    <w:abstractNumId w:val="28"/>
  </w:num>
  <w:num w:numId="15" w16cid:durableId="1907496411">
    <w:abstractNumId w:val="23"/>
  </w:num>
  <w:num w:numId="16" w16cid:durableId="1050377421">
    <w:abstractNumId w:val="30"/>
  </w:num>
  <w:num w:numId="17" w16cid:durableId="759565097">
    <w:abstractNumId w:val="21"/>
  </w:num>
  <w:num w:numId="18" w16cid:durableId="804741116">
    <w:abstractNumId w:val="1"/>
  </w:num>
  <w:num w:numId="19" w16cid:durableId="761804271">
    <w:abstractNumId w:val="11"/>
  </w:num>
  <w:num w:numId="20" w16cid:durableId="1033462588">
    <w:abstractNumId w:val="22"/>
  </w:num>
  <w:num w:numId="21" w16cid:durableId="1364940129">
    <w:abstractNumId w:val="17"/>
  </w:num>
  <w:num w:numId="22" w16cid:durableId="744913975">
    <w:abstractNumId w:val="20"/>
  </w:num>
  <w:num w:numId="23" w16cid:durableId="630599585">
    <w:abstractNumId w:val="25"/>
  </w:num>
  <w:num w:numId="24" w16cid:durableId="1778408128">
    <w:abstractNumId w:val="2"/>
  </w:num>
  <w:num w:numId="25" w16cid:durableId="936328172">
    <w:abstractNumId w:val="12"/>
  </w:num>
  <w:num w:numId="26" w16cid:durableId="36635796">
    <w:abstractNumId w:val="7"/>
  </w:num>
  <w:num w:numId="27" w16cid:durableId="1066298379">
    <w:abstractNumId w:val="27"/>
  </w:num>
  <w:num w:numId="28" w16cid:durableId="707878778">
    <w:abstractNumId w:val="0"/>
  </w:num>
  <w:num w:numId="29" w16cid:durableId="128256117">
    <w:abstractNumId w:val="9"/>
  </w:num>
  <w:num w:numId="30" w16cid:durableId="444278310">
    <w:abstractNumId w:val="26"/>
  </w:num>
  <w:num w:numId="31" w16cid:durableId="84157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8385988">
    <w:abstractNumId w:val="1"/>
  </w:num>
  <w:num w:numId="33" w16cid:durableId="1923101433">
    <w:abstractNumId w:val="24"/>
  </w:num>
  <w:num w:numId="34" w16cid:durableId="804658596">
    <w:abstractNumId w:val="8"/>
  </w:num>
  <w:num w:numId="35" w16cid:durableId="1446075163">
    <w:abstractNumId w:val="29"/>
  </w:num>
  <w:num w:numId="36" w16cid:durableId="136428293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82BEF"/>
    <w:rsid w:val="000A60ED"/>
    <w:rsid w:val="000D2348"/>
    <w:rsid w:val="00122C70"/>
    <w:rsid w:val="0015484A"/>
    <w:rsid w:val="001B33B8"/>
    <w:rsid w:val="001D3923"/>
    <w:rsid w:val="0022671F"/>
    <w:rsid w:val="00266C0B"/>
    <w:rsid w:val="002A7171"/>
    <w:rsid w:val="002E1184"/>
    <w:rsid w:val="00346E6B"/>
    <w:rsid w:val="00360783"/>
    <w:rsid w:val="0039253D"/>
    <w:rsid w:val="003D4627"/>
    <w:rsid w:val="00431BE9"/>
    <w:rsid w:val="00456170"/>
    <w:rsid w:val="00500D48"/>
    <w:rsid w:val="0050593E"/>
    <w:rsid w:val="00557396"/>
    <w:rsid w:val="005635BB"/>
    <w:rsid w:val="00593655"/>
    <w:rsid w:val="005A5FA8"/>
    <w:rsid w:val="00625471"/>
    <w:rsid w:val="00644A2B"/>
    <w:rsid w:val="00647BCA"/>
    <w:rsid w:val="006B1E1E"/>
    <w:rsid w:val="006E53C6"/>
    <w:rsid w:val="007174EC"/>
    <w:rsid w:val="007179C8"/>
    <w:rsid w:val="00735896"/>
    <w:rsid w:val="00750E30"/>
    <w:rsid w:val="00763A34"/>
    <w:rsid w:val="007A0207"/>
    <w:rsid w:val="00841393"/>
    <w:rsid w:val="00842B6F"/>
    <w:rsid w:val="008B044B"/>
    <w:rsid w:val="008C065D"/>
    <w:rsid w:val="008D4F65"/>
    <w:rsid w:val="00905082"/>
    <w:rsid w:val="00914B21"/>
    <w:rsid w:val="009366FD"/>
    <w:rsid w:val="00966223"/>
    <w:rsid w:val="009923F2"/>
    <w:rsid w:val="009A5F55"/>
    <w:rsid w:val="009E3DB7"/>
    <w:rsid w:val="009E5063"/>
    <w:rsid w:val="009F20C6"/>
    <w:rsid w:val="009F42D0"/>
    <w:rsid w:val="00A448D2"/>
    <w:rsid w:val="00A90297"/>
    <w:rsid w:val="00AD5551"/>
    <w:rsid w:val="00B01671"/>
    <w:rsid w:val="00B02C9F"/>
    <w:rsid w:val="00B02F0B"/>
    <w:rsid w:val="00B57450"/>
    <w:rsid w:val="00B82998"/>
    <w:rsid w:val="00B8306C"/>
    <w:rsid w:val="00B95587"/>
    <w:rsid w:val="00BE56F8"/>
    <w:rsid w:val="00C031C3"/>
    <w:rsid w:val="00C4358B"/>
    <w:rsid w:val="00D269B0"/>
    <w:rsid w:val="00D26F8C"/>
    <w:rsid w:val="00DA2FD9"/>
    <w:rsid w:val="00DB5D97"/>
    <w:rsid w:val="00DE426C"/>
    <w:rsid w:val="00DE5A5E"/>
    <w:rsid w:val="00DF527A"/>
    <w:rsid w:val="00E63B99"/>
    <w:rsid w:val="00E8201B"/>
    <w:rsid w:val="00E83DAE"/>
    <w:rsid w:val="00EB0B8E"/>
    <w:rsid w:val="00EC2873"/>
    <w:rsid w:val="00ED601C"/>
    <w:rsid w:val="00F5752A"/>
    <w:rsid w:val="00F73C7F"/>
    <w:rsid w:val="00FC7371"/>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D3EC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qFormat/>
    <w:rsid w:val="00644A2B"/>
    <w:pPr>
      <w:spacing w:before="100" w:beforeAutospacing="1" w:after="100" w:afterAutospacing="1"/>
    </w:pPr>
    <w:rPr>
      <w:rFonts w:ascii="SimSun" w:eastAsia="SimSun" w:hAnsi="SimSun" w:cs="SimSun"/>
    </w:rPr>
  </w:style>
  <w:style w:type="table" w:styleId="ListTable4-Accent2">
    <w:name w:val="List Table 4 Accent 2"/>
    <w:basedOn w:val="TableNormal"/>
    <w:uiPriority w:val="49"/>
    <w:rsid w:val="007A020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8.emf"/></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0ADA-A749-84A5-975B45BF583B}"/>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2E66-8B44-A190-A7DD00BF79CA}"/>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3204</Words>
  <Characters>18264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2023-02-09T04:41:00Z</dcterms:created>
  <dcterms:modified xsi:type="dcterms:W3CDTF">2023-02-18T00:39:00Z</dcterms:modified>
</cp:coreProperties>
</file>